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commentRangeStart w:id="0"/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  <w:commentRangeEnd w:id="0"/>
      <w:r>
        <w:rPr>
          <w:rStyle w:val="CommentReference"/>
        </w:rPr>
        <w:commentReference w:id="0"/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23CAA043" w:rsidR="007C5BAF" w:rsidRPr="0008213C" w:rsidRDefault="00F23FCA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Joana Rodrigues Ribeiro, MD</w:t>
      </w:r>
      <w:r w:rsidRPr="0008213C">
        <w:rPr>
          <w:rFonts w:ascii="Arial" w:hAnsi="Arial" w:cs="Arial"/>
          <w:sz w:val="22"/>
          <w:szCs w:val="22"/>
          <w:vertAlign w:val="superscript"/>
        </w:rPr>
        <w:t>1,2*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Fariba Abbassi, MD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1,2*</w:t>
      </w:r>
      <w:r w:rsidR="007C5BAF" w:rsidRPr="0008213C">
        <w:rPr>
          <w:rFonts w:ascii="Arial" w:hAnsi="Arial" w:cs="Arial"/>
          <w:sz w:val="22"/>
          <w:szCs w:val="22"/>
        </w:rPr>
        <w:t>; Matthias Pfister, MD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2,3</w:t>
      </w:r>
      <w:r w:rsidR="007C5BAF" w:rsidRPr="0008213C">
        <w:rPr>
          <w:rFonts w:ascii="Arial" w:hAnsi="Arial" w:cs="Arial"/>
          <w:sz w:val="22"/>
          <w:szCs w:val="22"/>
        </w:rPr>
        <w:t xml:space="preserve">; Pierre-Alain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Clavien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>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2,4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 xml:space="preserve">; Milo A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Puhan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>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1,2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81101B1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1</w:t>
      </w:r>
      <w:r w:rsidRPr="0008213C">
        <w:rPr>
          <w:rFonts w:ascii="Arial" w:hAnsi="Arial" w:cs="Arial"/>
          <w:sz w:val="22"/>
          <w:szCs w:val="22"/>
        </w:rPr>
        <w:t>Epidemiology, Biostatistics and Prevention Institute, University of Zurich,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3F7AD6FE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2</w:t>
      </w:r>
      <w:r w:rsidRPr="0008213C">
        <w:rPr>
          <w:rFonts w:ascii="Arial" w:hAnsi="Arial" w:cs="Arial"/>
          <w:sz w:val="22"/>
          <w:szCs w:val="22"/>
        </w:rPr>
        <w:t>Hub for Translational Research and Liver/GI Health, FZ-Healthcare Foundation, Zurich, Switzerland</w:t>
      </w:r>
    </w:p>
    <w:p w14:paraId="66969321" w14:textId="77777777" w:rsidR="007C5BAF" w:rsidRDefault="007C5BAF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3</w:t>
      </w:r>
      <w:r w:rsidRPr="0008213C">
        <w:rPr>
          <w:rFonts w:ascii="Arial" w:hAnsi="Arial" w:cs="Arial"/>
          <w:sz w:val="22"/>
          <w:szCs w:val="22"/>
        </w:rPr>
        <w:t xml:space="preserve">Department of Surgery, Cantonal Hospital Thurgau, </w:t>
      </w:r>
      <w:proofErr w:type="spellStart"/>
      <w:r w:rsidRPr="0008213C">
        <w:rPr>
          <w:rFonts w:ascii="Arial" w:hAnsi="Arial" w:cs="Arial"/>
          <w:sz w:val="22"/>
          <w:szCs w:val="22"/>
        </w:rPr>
        <w:t>Frauenfeld</w:t>
      </w:r>
      <w:proofErr w:type="spellEnd"/>
      <w:r w:rsidRPr="0008213C"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4</w:t>
      </w:r>
      <w:r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5AE47364" w14:textId="5F97B856" w:rsidR="007C5BAF" w:rsidRPr="0008213C" w:rsidRDefault="00D612AA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Concept: No planning -&gt; no reporting -&gt; failure to achieve clinical meaningfulness </w:t>
      </w:r>
    </w:p>
    <w:p w14:paraId="092BAA0F" w14:textId="512DA94C" w:rsidR="007C5BAF" w:rsidRPr="0008213C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considered the gold standard for generating 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proofErr w:type="spellStart"/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have </w:t>
      </w:r>
      <w:proofErr w:type="spellEnd"/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 incompletely and inconsistently reported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As it is commonly assumed that inadequate planning </w:t>
      </w:r>
      <w:r w:rsidR="00D612AA" w:rsidRP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 leads to poor reporting and insufficient incorporation of patient perspectives, resulting in evidence that is misaligned with patient needs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,</w:t>
      </w:r>
      <w:r w:rsidR="00D612AA" w:rsidRP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</w:p>
    <w:p w14:paraId="6B27B60C" w14:textId="0DCAC2AA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meta-research study aims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primarily to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determine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how little surgical RCTs are patient-centered and secondly, to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quantify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quality of reporting and investigate the extent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shortcomings in trial planning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</w:p>
    <w:p w14:paraId="6D7FD7D4" w14:textId="77777777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investigate this hypothesis, we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first piloted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 xml:space="preserve">). As the CCI® is the only validated and patient-relevant measure of postoperative morbidity, </w:t>
      </w:r>
      <w:r>
        <w:rPr>
          <w:rFonts w:ascii="Arial" w:hAnsi="Arial" w:cs="Arial"/>
          <w:sz w:val="22"/>
          <w:szCs w:val="22"/>
        </w:rPr>
        <w:t xml:space="preserve">we assumed that </w:t>
      </w:r>
      <w:r w:rsidRPr="0008213C">
        <w:rPr>
          <w:rFonts w:ascii="Arial" w:hAnsi="Arial" w:cs="Arial"/>
          <w:sz w:val="22"/>
          <w:szCs w:val="22"/>
        </w:rPr>
        <w:t xml:space="preserve">trials using this outcome </w:t>
      </w:r>
      <w:r>
        <w:rPr>
          <w:rFonts w:ascii="Arial" w:hAnsi="Arial" w:cs="Arial"/>
          <w:sz w:val="22"/>
          <w:szCs w:val="22"/>
        </w:rPr>
        <w:t>would have the</w:t>
      </w:r>
      <w:r w:rsidRPr="0008213C">
        <w:rPr>
          <w:rFonts w:ascii="Arial" w:hAnsi="Arial" w:cs="Arial"/>
          <w:sz w:val="22"/>
          <w:szCs w:val="22"/>
        </w:rPr>
        <w:t xml:space="preserve"> large</w:t>
      </w:r>
      <w:r>
        <w:rPr>
          <w:rFonts w:ascii="Arial" w:hAnsi="Arial" w:cs="Arial"/>
          <w:sz w:val="22"/>
          <w:szCs w:val="22"/>
        </w:rPr>
        <w:t>st</w:t>
      </w:r>
      <w:r w:rsidRPr="0008213C">
        <w:rPr>
          <w:rFonts w:ascii="Arial" w:hAnsi="Arial" w:cs="Arial"/>
          <w:sz w:val="22"/>
          <w:szCs w:val="22"/>
        </w:rPr>
        <w:t xml:space="preserve"> potential to inform meaningful decision making. </w:t>
      </w:r>
      <w:r w:rsidRPr="006666A7">
        <w:rPr>
          <w:rFonts w:ascii="Arial" w:hAnsi="Arial" w:cs="Arial"/>
          <w:sz w:val="22"/>
          <w:szCs w:val="22"/>
        </w:rPr>
        <w:t>For each trial, we retrieved both pre-trial documentation and</w:t>
      </w:r>
      <w:r>
        <w:rPr>
          <w:rFonts w:ascii="Arial" w:hAnsi="Arial" w:cs="Arial"/>
          <w:sz w:val="22"/>
          <w:szCs w:val="22"/>
        </w:rPr>
        <w:t xml:space="preserve"> </w:t>
      </w:r>
      <w:r w:rsidRPr="006666A7">
        <w:rPr>
          <w:rFonts w:ascii="Arial" w:hAnsi="Arial" w:cs="Arial"/>
          <w:sz w:val="22"/>
          <w:szCs w:val="22"/>
        </w:rPr>
        <w:t xml:space="preserve">final publication. From each source, we extracted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For trials showing statistically significant results for the primary endpoint, we collected the results’ interpretation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i.e.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whether effect sizes were discussed to be meaningful for patients.</w:t>
      </w:r>
    </w:p>
    <w:p w14:paraId="5C87C864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RCTs,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 xml:space="preserve">comprising 87 published RCTs and 49 ongoing trials. </w:t>
      </w:r>
      <w:r>
        <w:rPr>
          <w:rFonts w:ascii="Arial" w:hAnsi="Arial" w:cs="Arial"/>
          <w:sz w:val="22"/>
          <w:szCs w:val="22"/>
        </w:rPr>
        <w:t>P</w:t>
      </w:r>
      <w:r w:rsidRPr="0008213C">
        <w:rPr>
          <w:rFonts w:ascii="Arial" w:hAnsi="Arial" w:cs="Arial"/>
          <w:sz w:val="22"/>
          <w:szCs w:val="22"/>
        </w:rPr>
        <w:t>re-trial document</w:t>
      </w:r>
      <w:r>
        <w:rPr>
          <w:rFonts w:ascii="Arial" w:hAnsi="Arial" w:cs="Arial"/>
          <w:sz w:val="22"/>
          <w:szCs w:val="22"/>
        </w:rPr>
        <w:t>s were</w:t>
      </w:r>
      <w:r w:rsidRPr="0008213C">
        <w:rPr>
          <w:rFonts w:ascii="Arial" w:hAnsi="Arial" w:cs="Arial"/>
          <w:sz w:val="22"/>
          <w:szCs w:val="22"/>
        </w:rPr>
        <w:t xml:space="preserve"> available for 84 (98%) published RCTs</w:t>
      </w:r>
      <w:r>
        <w:rPr>
          <w:rFonts w:ascii="Arial" w:hAnsi="Arial" w:cs="Arial"/>
          <w:sz w:val="22"/>
          <w:szCs w:val="22"/>
        </w:rPr>
        <w:t>.</w:t>
      </w:r>
      <w:r w:rsidRPr="0008213C">
        <w:rPr>
          <w:rFonts w:ascii="Arial" w:hAnsi="Arial" w:cs="Arial"/>
          <w:sz w:val="22"/>
          <w:szCs w:val="22"/>
        </w:rPr>
        <w:t xml:space="preserve"> </w:t>
      </w:r>
      <w:r w:rsidRPr="00AD7A31">
        <w:rPr>
          <w:rFonts w:ascii="Arial" w:hAnsi="Arial" w:cs="Arial"/>
          <w:sz w:val="22"/>
          <w:szCs w:val="22"/>
        </w:rPr>
        <w:t>A primary endpoint was defined in all pre-trial documents (100%), and a secondary endpoint in 81 studies (96%)</w:t>
      </w:r>
      <w:r>
        <w:rPr>
          <w:rFonts w:ascii="Arial" w:hAnsi="Arial" w:cs="Arial"/>
          <w:sz w:val="22"/>
          <w:szCs w:val="22"/>
        </w:rPr>
        <w:t>. The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study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for the primary and secondary endpoints was only reported in 23 (27%) and 3 pre-trial documents (4%), respectively (</w:t>
      </w:r>
      <w:r w:rsidRPr="00A95E55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Table 1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). </w:t>
      </w:r>
    </w:p>
    <w:p w14:paraId="601F7F37" w14:textId="20B20505" w:rsidR="007C5BAF" w:rsidRPr="006749D7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Among the 87 final publications, 20 (23%) specified a superiority design and 12 (14%) a non-inferiority design, while 55 did not report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any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study aim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– </w:t>
      </w:r>
      <w:r w:rsidRPr="00F1455A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these were superiority-designed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 was provided in 84 (98%). Forty-four (51%) final publications achieved statistical significance for their primary endpoint, but only 9 (</w:t>
      </w:r>
      <w:r w:rsidR="007F5632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20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%)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interpreted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results in a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clinical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perspective.</w:t>
      </w:r>
    </w:p>
    <w:p w14:paraId="057963F9" w14:textId="602B2B6A" w:rsidR="007C5BAF" w:rsidRDefault="007C5BAF" w:rsidP="00F23FCA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Only 51% of surgical RCTs achieve significant results and 82% of these trials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do not address the clinical meaningfulness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weakening interpretability.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Most superiority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RCTs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failed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report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essential methodological parameters such as the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study design.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Finally,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while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lastRenderedPageBreak/>
        <w:t>m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ost RCTs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aimed to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show superiority and achieve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 meaningless threshold of 0.05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only half of them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show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ed significant and guiding conclusions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where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as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equivalence or non-inferiority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designs 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would be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 pertinent and clinically 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meaningful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Hence, </w:t>
      </w:r>
      <w:r w:rsid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we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 </w:t>
      </w:r>
      <w:r w:rsidR="00284B5D" w:rsidRP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inadequate planning often leads to poor reporting and insufficient incorporation of patient perspectives, resulting in evidence that is misaligned with patient needs.</w:t>
      </w:r>
      <w:r w:rsidR="00284B5D" w:rsidRP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F23FC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while being more likely to achieve positive results. The results of this pilot phase suggest that surgical RCTs fail at conception, when the aim is.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results of the final phase of our research will be presented at the congress.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30E2D81C" w14:textId="77777777" w:rsidR="007C5BAF" w:rsidRPr="00D92E5F" w:rsidRDefault="007C5BAF" w:rsidP="007C5BAF">
      <w:pPr>
        <w:rPr>
          <w:rFonts w:ascii="Arial" w:hAnsi="Arial" w:cs="Arial"/>
          <w:b/>
          <w:bCs/>
          <w:sz w:val="22"/>
          <w:szCs w:val="22"/>
        </w:rPr>
      </w:pPr>
      <w:r w:rsidRPr="00D92E5F">
        <w:rPr>
          <w:rFonts w:ascii="Arial" w:hAnsi="Arial" w:cs="Arial"/>
          <w:b/>
          <w:bCs/>
          <w:iCs/>
          <w:sz w:val="22"/>
          <w:szCs w:val="22"/>
        </w:rPr>
        <w:t>Table 1</w:t>
      </w:r>
      <w:r w:rsidRPr="00D92E5F">
        <w:rPr>
          <w:rFonts w:ascii="Arial" w:hAnsi="Arial" w:cs="Arial"/>
          <w:b/>
          <w:bCs/>
          <w:sz w:val="22"/>
          <w:szCs w:val="22"/>
        </w:rPr>
        <w:t xml:space="preserve">. </w:t>
      </w:r>
      <w:r w:rsidRPr="00D92E5F">
        <w:rPr>
          <w:rFonts w:ascii="Arial" w:hAnsi="Arial" w:cs="Arial"/>
          <w:b/>
          <w:bCs/>
          <w:iCs/>
          <w:sz w:val="22"/>
          <w:szCs w:val="22"/>
        </w:rPr>
        <w:t>Information Provided in Pre-trial Documents of Published Randomized Controlled Trials</w:t>
      </w:r>
    </w:p>
    <w:p w14:paraId="09897D0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552"/>
        <w:gridCol w:w="2268"/>
        <w:gridCol w:w="1812"/>
        <w:gridCol w:w="9"/>
      </w:tblGrid>
      <w:tr w:rsidR="007C5BAF" w:rsidRPr="0008213C" w14:paraId="717124F9" w14:textId="77777777" w:rsidTr="0027425C">
        <w:trPr>
          <w:gridAfter w:val="1"/>
          <w:wAfter w:w="9" w:type="dxa"/>
          <w:tblHeader/>
          <w:jc w:val="center"/>
        </w:trPr>
        <w:tc>
          <w:tcPr>
            <w:tcW w:w="35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4D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8BD7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Protocol published  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31, n(%)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DCBC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Protocol unpublished  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8, n(%)</w:t>
            </w:r>
          </w:p>
        </w:tc>
        <w:tc>
          <w:tcPr>
            <w:tcW w:w="18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111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Registry records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45, n(%)</w:t>
            </w:r>
          </w:p>
        </w:tc>
      </w:tr>
      <w:tr w:rsidR="007C5BAF" w:rsidRPr="0008213C" w14:paraId="78DBEE58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4563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Primary endpoint defined</w:t>
            </w:r>
          </w:p>
          <w:p w14:paraId="678BB206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Secondary endpoint defined</w:t>
            </w:r>
          </w:p>
          <w:p w14:paraId="753985A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Study </w:t>
            </w:r>
            <w:proofErr w:type="gramStart"/>
            <w:r w:rsidRPr="0008213C">
              <w:rPr>
                <w:rFonts w:ascii="Arial" w:hAnsi="Arial" w:cs="Arial"/>
                <w:sz w:val="22"/>
                <w:szCs w:val="22"/>
              </w:rPr>
              <w:t>aim</w:t>
            </w:r>
            <w:proofErr w:type="gramEnd"/>
            <w:r w:rsidRPr="0008213C">
              <w:rPr>
                <w:rFonts w:ascii="Arial" w:hAnsi="Arial" w:cs="Arial"/>
                <w:sz w:val="22"/>
                <w:szCs w:val="22"/>
              </w:rPr>
              <w:t xml:space="preserve"> for primary endpoint 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9C3C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  <w:p w14:paraId="69681D87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1B06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  <w:p w14:paraId="2518B8D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7885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45 (100%)</w:t>
            </w:r>
          </w:p>
          <w:p w14:paraId="44B54319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42 (93%)</w:t>
            </w:r>
          </w:p>
        </w:tc>
      </w:tr>
      <w:tr w:rsidR="007C5BAF" w:rsidRPr="0008213C" w14:paraId="567B35A8" w14:textId="77777777" w:rsidTr="0027425C">
        <w:trPr>
          <w:gridAfter w:val="1"/>
          <w:wAfter w:w="9" w:type="dxa"/>
          <w:trHeight w:val="414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A52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2798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10 (32%)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D96D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FE18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 (4%)</w:t>
            </w:r>
          </w:p>
        </w:tc>
      </w:tr>
      <w:tr w:rsidR="007C5BAF" w:rsidRPr="0008213C" w14:paraId="3CDC4F4E" w14:textId="77777777" w:rsidTr="0027425C">
        <w:trPr>
          <w:gridAfter w:val="1"/>
          <w:wAfter w:w="9" w:type="dxa"/>
          <w:trHeight w:val="18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64A6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1C34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(19%)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DAE3E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81D9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 (2%)</w:t>
            </w:r>
          </w:p>
        </w:tc>
      </w:tr>
      <w:tr w:rsidR="007C5BAF" w:rsidRPr="0008213C" w14:paraId="4B45B3F7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B255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4A22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15 (48%)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D44F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BF51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42 (93%)</w:t>
            </w:r>
          </w:p>
        </w:tc>
      </w:tr>
      <w:tr w:rsidR="007C5BAF" w:rsidRPr="0008213C" w14:paraId="7F39B815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5F14F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Study </w:t>
            </w:r>
            <w:proofErr w:type="gramStart"/>
            <w:r w:rsidRPr="0008213C">
              <w:rPr>
                <w:rFonts w:ascii="Arial" w:hAnsi="Arial" w:cs="Arial"/>
                <w:sz w:val="22"/>
                <w:szCs w:val="22"/>
              </w:rPr>
              <w:t>aim</w:t>
            </w:r>
            <w:proofErr w:type="gramEnd"/>
            <w:r w:rsidRPr="0008213C">
              <w:rPr>
                <w:rFonts w:ascii="Arial" w:hAnsi="Arial" w:cs="Arial"/>
                <w:sz w:val="22"/>
                <w:szCs w:val="22"/>
              </w:rPr>
              <w:t xml:space="preserve"> for secondary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730B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51EE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004EC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C5BAF" w:rsidRPr="0008213C" w14:paraId="2EABB5AD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8027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3DE1C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 (6%)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C9F3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46F3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</w:tr>
      <w:tr w:rsidR="007C5BAF" w:rsidRPr="0008213C" w14:paraId="684B28F3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56AC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DAE8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D5C4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973C6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</w:tr>
      <w:tr w:rsidR="007C5BAF" w:rsidRPr="0008213C" w14:paraId="2FEBF45B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EF10F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Equivalence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2A3D2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 (3%)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35AD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0189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</w:tr>
      <w:tr w:rsidR="007C5BAF" w:rsidRPr="0008213C" w14:paraId="0AE429A3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A13F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B9F9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28 (90%)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6A06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35D0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45 (100%)</w:t>
            </w:r>
          </w:p>
        </w:tc>
      </w:tr>
      <w:tr w:rsidR="007C5BAF" w:rsidRPr="0008213C" w14:paraId="2971C6BC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E1B1E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Sample size calculation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343FD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3FE9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A3A0D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(13%)</w:t>
            </w:r>
          </w:p>
        </w:tc>
      </w:tr>
      <w:tr w:rsidR="007C5BAF" w:rsidRPr="0008213C" w14:paraId="538512B4" w14:textId="77777777" w:rsidTr="0027425C">
        <w:trPr>
          <w:jc w:val="center"/>
        </w:trPr>
        <w:tc>
          <w:tcPr>
            <w:tcW w:w="1018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F51D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a Rodrigues Ribeiro" w:date="2025-12-21T17:34:00Z" w:initials="JRR">
    <w:p w14:paraId="7E7D11AB" w14:textId="77777777" w:rsidR="007C5BAF" w:rsidRDefault="007C5BAF" w:rsidP="007C5BAF">
      <w:r>
        <w:rPr>
          <w:rStyle w:val="CommentReference"/>
        </w:rPr>
        <w:annotationRef/>
      </w:r>
      <w:r>
        <w:rPr>
          <w:sz w:val="20"/>
          <w:szCs w:val="20"/>
        </w:rPr>
        <w:t>300 words max, excluding title, authors, affiliations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7D1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1FF7BF" w16cex:dateUtc="2025-12-21T16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7D11AB" w16cid:durableId="0B1FF7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284B5D"/>
    <w:rsid w:val="002A61FC"/>
    <w:rsid w:val="002F5338"/>
    <w:rsid w:val="004A265B"/>
    <w:rsid w:val="0059269F"/>
    <w:rsid w:val="00595AAA"/>
    <w:rsid w:val="005F5E58"/>
    <w:rsid w:val="005F7E03"/>
    <w:rsid w:val="006B2686"/>
    <w:rsid w:val="007C5BAF"/>
    <w:rsid w:val="007F5632"/>
    <w:rsid w:val="00804D5D"/>
    <w:rsid w:val="009548A9"/>
    <w:rsid w:val="009E184A"/>
    <w:rsid w:val="00A6635E"/>
    <w:rsid w:val="00C021DE"/>
    <w:rsid w:val="00C470E2"/>
    <w:rsid w:val="00CC088E"/>
    <w:rsid w:val="00CD0842"/>
    <w:rsid w:val="00D139CC"/>
    <w:rsid w:val="00D612AA"/>
    <w:rsid w:val="00DC38BF"/>
    <w:rsid w:val="00E31FA5"/>
    <w:rsid w:val="00EF7BB2"/>
    <w:rsid w:val="00F01C6B"/>
    <w:rsid w:val="00F2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C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5B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2</cp:revision>
  <dcterms:created xsi:type="dcterms:W3CDTF">2025-12-22T15:09:00Z</dcterms:created>
  <dcterms:modified xsi:type="dcterms:W3CDTF">2025-12-22T15:09:00Z</dcterms:modified>
</cp:coreProperties>
</file>