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33F9" w14:textId="5ADF947E" w:rsidR="00B7001D" w:rsidRPr="00B7001D" w:rsidRDefault="00B7001D" w:rsidP="001D09A0">
      <w:pPr>
        <w:spacing w:before="100" w:beforeAutospacing="1" w:after="100" w:afterAutospacing="1" w:line="480" w:lineRule="auto"/>
        <w:rPr>
          <w:rFonts w:ascii="Calibri" w:hAnsi="Calibri" w:cs="Calibri"/>
          <w:b/>
          <w:bCs/>
          <w:sz w:val="28"/>
          <w:szCs w:val="28"/>
        </w:rPr>
      </w:pPr>
      <w:r w:rsidRPr="00B7001D">
        <w:rPr>
          <w:rFonts w:ascii="Calibri" w:hAnsi="Calibri" w:cs="Calibri"/>
          <w:b/>
          <w:bCs/>
          <w:sz w:val="28"/>
          <w:szCs w:val="28"/>
        </w:rPr>
        <w:t>Getting to the Root of the Problem: Surgical RCTs</w:t>
      </w:r>
      <w:r w:rsidR="00A6083C">
        <w:rPr>
          <w:rFonts w:ascii="Calibri" w:hAnsi="Calibri" w:cs="Calibri"/>
          <w:b/>
          <w:bCs/>
          <w:sz w:val="28"/>
          <w:szCs w:val="28"/>
        </w:rPr>
        <w:t xml:space="preserve"> are not </w:t>
      </w:r>
      <w:r w:rsidR="00F96FE8">
        <w:rPr>
          <w:rFonts w:ascii="Calibri" w:hAnsi="Calibri" w:cs="Calibri"/>
          <w:b/>
          <w:bCs/>
          <w:sz w:val="28"/>
          <w:szCs w:val="28"/>
        </w:rPr>
        <w:t xml:space="preserve">well </w:t>
      </w:r>
      <w:r w:rsidR="00A6083C">
        <w:rPr>
          <w:rFonts w:ascii="Calibri" w:hAnsi="Calibri" w:cs="Calibri"/>
          <w:b/>
          <w:bCs/>
          <w:sz w:val="28"/>
          <w:szCs w:val="28"/>
        </w:rPr>
        <w:t>designed to inform surgical decisions</w:t>
      </w:r>
    </w:p>
    <w:p w14:paraId="4DAC3E1D" w14:textId="3480C8D4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Background</w:t>
      </w:r>
    </w:p>
    <w:p w14:paraId="16BA506D" w14:textId="011A0266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Randomized controlled trials (RCTs) are considered the gold standard for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providing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high quality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evidence. Yet our previous work has shown that surgical RCTs </w:t>
      </w:r>
      <w:r w:rsidR="00FE5F1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are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not only report</w:t>
      </w:r>
      <w:r w:rsidR="00FE5F1A">
        <w:rPr>
          <w:rFonts w:ascii="Calibri" w:eastAsia="Times New Roman" w:hAnsi="Calibri" w:cs="Calibri"/>
          <w:kern w:val="0"/>
          <w:lang w:eastAsia="de-DE"/>
          <w14:ligatures w14:val="none"/>
        </w:rPr>
        <w:t>ed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incompletely</w:t>
      </w:r>
      <w:r w:rsidR="00252659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and inconsistently, but also rarely place patients at the cente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r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of their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research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 Outcomes are often poorly defined, insufficiently patient-cent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ere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d, or clinically irrelevant for the patient. Consequently, much of today’s surgical evidence struggles to inform patient-focused decisions at the bedside.</w:t>
      </w:r>
    </w:p>
    <w:p w14:paraId="6D044964" w14:textId="1B2332D5" w:rsidR="00F46BFA" w:rsidRDefault="00D67D58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Poor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reporting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, however,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may only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be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 symptom of a deeper issue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>, namely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inadequate trial planning. 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>To investigate this hypothesis, we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aimed to systematically exami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ne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RCTs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starting with their protocols and registration up to their publication.</w:t>
      </w:r>
    </w:p>
    <w:p w14:paraId="75D86DDF" w14:textId="77777777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Methods</w:t>
      </w:r>
    </w:p>
    <w:p w14:paraId="1AFDC8A7" w14:textId="16C923E5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C04E8F">
        <w:rPr>
          <w:rFonts w:ascii="Calibri" w:hAnsi="Calibri" w:cs="Calibri"/>
        </w:rPr>
        <w:t>Through a</w:t>
      </w:r>
      <w:r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systematic literature search in Scopus (August 2023, updated July 2025) we identified all RCTs </w:t>
      </w:r>
      <w:r w:rsidR="00BF5D66">
        <w:rPr>
          <w:rFonts w:ascii="Calibri" w:hAnsi="Calibri" w:cs="Calibri"/>
        </w:rPr>
        <w:t>that</w:t>
      </w:r>
      <w:r w:rsidR="00F96FE8">
        <w:rPr>
          <w:rFonts w:ascii="Calibri" w:hAnsi="Calibri" w:cs="Calibri"/>
        </w:rPr>
        <w:t xml:space="preserve"> share</w:t>
      </w:r>
      <w:r w:rsidR="00BF5D66">
        <w:rPr>
          <w:rFonts w:ascii="Calibri" w:hAnsi="Calibri" w:cs="Calibri"/>
        </w:rPr>
        <w:t xml:space="preserve"> a common outcome measure of postoperative morbidity, the </w:t>
      </w:r>
      <w:r w:rsidR="00D33C1E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Comprehensive Complication Index (CCI®)</w:t>
      </w:r>
      <w:r w:rsidR="00F931D4">
        <w:rPr>
          <w:rFonts w:ascii="Calibri" w:eastAsia="Times New Roman" w:hAnsi="Calibri" w:cs="Calibri"/>
          <w:kern w:val="0"/>
          <w:lang w:eastAsia="de-DE"/>
          <w14:ligatures w14:val="none"/>
        </w:rPr>
        <w:t>, as a basis for patient-relevant research</w:t>
      </w:r>
      <w:r w:rsidR="00E84E0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  <w:r w:rsidR="00D6305F">
        <w:rPr>
          <w:rFonts w:ascii="Calibri" w:hAnsi="Calibri" w:cs="Calibri"/>
        </w:rPr>
        <w:t xml:space="preserve">We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retrieved the corresponding pre-trial documentation and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publication.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In the pre-trial document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we assessed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primary and secondary endpoints were defined, a sample size calculation was reported, and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study aim 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to support a specific patient-relevant decision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(superiority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or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non-inferiority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for primary outcome for a complete picture of benefits and harms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)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was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mentioned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In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the publication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further assessed,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 xml:space="preserve">primary endpoint showed a statistically significant result, and if so, whether this result was </w:t>
      </w:r>
      <w:r w:rsidR="00F7425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discussed </w:t>
      </w:r>
      <w:r w:rsidR="001B2A06">
        <w:rPr>
          <w:rFonts w:ascii="Calibri" w:eastAsia="Times New Roman" w:hAnsi="Calibri" w:cs="Calibri"/>
          <w:kern w:val="0"/>
          <w:lang w:eastAsia="de-DE"/>
          <w14:ligatures w14:val="none"/>
        </w:rPr>
        <w:t>t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o be meaningful for patients.</w:t>
      </w:r>
    </w:p>
    <w:p w14:paraId="769F9D3D" w14:textId="77777777" w:rsidR="00F46BFA" w:rsidRDefault="001D09A0" w:rsidP="001D09A0">
      <w:pPr>
        <w:spacing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Results</w:t>
      </w:r>
    </w:p>
    <w:p w14:paraId="57DFCE60" w14:textId="4B903720" w:rsidR="001D09A0" w:rsidRPr="009A6572" w:rsidRDefault="001D09A0" w:rsidP="001D09A0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>Of 1612 records citing the CCI® up to July 2025, 136 RCTs were eligible, comprising 87 published and 49 ongoing trials (</w:t>
      </w:r>
      <w:r w:rsidRPr="009A6572">
        <w:rPr>
          <w:rFonts w:ascii="Calibri" w:hAnsi="Calibri" w:cs="Calibri"/>
          <w:b/>
          <w:bCs/>
        </w:rPr>
        <w:t>Figure 1</w:t>
      </w:r>
      <w:r w:rsidRPr="009A6572">
        <w:rPr>
          <w:rFonts w:ascii="Calibri" w:hAnsi="Calibri" w:cs="Calibri"/>
        </w:rPr>
        <w:t>).</w:t>
      </w:r>
    </w:p>
    <w:p w14:paraId="6FC3922D" w14:textId="2FC8AD72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9A6572">
        <w:rPr>
          <w:rFonts w:ascii="Calibri" w:hAnsi="Calibri" w:cs="Calibri"/>
        </w:rPr>
        <w:t>A pre-trial document was available for 84 (98%) published RCTs (</w:t>
      </w:r>
      <w:r w:rsidRPr="009A6572">
        <w:rPr>
          <w:rFonts w:ascii="Calibri" w:hAnsi="Calibri" w:cs="Calibri"/>
          <w:b/>
          <w:bCs/>
        </w:rPr>
        <w:t>Table 1</w:t>
      </w:r>
      <w:r w:rsidRPr="009A6572">
        <w:rPr>
          <w:rFonts w:ascii="Calibri" w:hAnsi="Calibri" w:cs="Calibri"/>
        </w:rPr>
        <w:t xml:space="preserve">), including 31 (37%) </w:t>
      </w:r>
      <w:r w:rsidRPr="003B4AD0">
        <w:rPr>
          <w:rFonts w:ascii="Calibri" w:hAnsi="Calibri" w:cs="Calibri"/>
        </w:rPr>
        <w:t xml:space="preserve">published protocols, 8 (10%) full-text protocols provided as supplementary material, and 45 (54%) registry records. </w:t>
      </w:r>
      <w:commentRangeStart w:id="0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A primary endpoint was defined in all 84 (100%) pre-trial documents, while secondary endpoints were specified in 81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96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%). A sample size calculation was reported in 45 (54%), and the study aim in 23 (27%). </w:t>
      </w:r>
      <w:commentRangeEnd w:id="0"/>
      <w:r>
        <w:rPr>
          <w:rStyle w:val="Kommentarzeichen"/>
        </w:rPr>
        <w:commentReference w:id="0"/>
      </w:r>
    </w:p>
    <w:p w14:paraId="46707072" w14:textId="1693D768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Among the 87 publications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sample size calculation was provided in 84 (98%).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Twenty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(23%)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specified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superiority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design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12 (14%)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non-inferiority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design, while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55 did not provide this information explicitly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Of the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20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head-to-head trials,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9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45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%) achieved statistical significance for the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ir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endpoint, and </w:t>
      </w:r>
      <w:commentRangeStart w:id="1"/>
      <w:r>
        <w:rPr>
          <w:rFonts w:ascii="Calibri" w:eastAsia="Times New Roman" w:hAnsi="Calibri" w:cs="Calibri"/>
          <w:kern w:val="0"/>
          <w:lang w:eastAsia="de-DE"/>
          <w14:ligatures w14:val="none"/>
        </w:rPr>
        <w:t>xx</w:t>
      </w:r>
      <w:commentRangeEnd w:id="1"/>
      <w:r w:rsidR="003B5DB5">
        <w:rPr>
          <w:rStyle w:val="Kommentarzeichen"/>
        </w:rPr>
        <w:commentReference w:id="1"/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of those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discussed whether the observed effect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could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be interpreted as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clinically meaningful.</w:t>
      </w:r>
    </w:p>
    <w:p w14:paraId="43D19475" w14:textId="77777777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Discussion</w:t>
      </w:r>
    </w:p>
    <w:p w14:paraId="50EE975A" w14:textId="3267CD25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Our findings indicate that the crisis in surgical evidence originates at the level of trial planning</w:t>
      </w:r>
      <w:r w:rsidR="006A4B6D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already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 Core design elements such as study aim</w:t>
      </w:r>
      <w:r w:rsidR="006A4B6D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which is critical to ultimately </w:t>
      </w:r>
      <w:r w:rsidR="00925633">
        <w:rPr>
          <w:rFonts w:ascii="Calibri" w:eastAsia="Times New Roman" w:hAnsi="Calibri" w:cs="Calibri"/>
          <w:kern w:val="0"/>
          <w:lang w:eastAsia="de-DE"/>
          <w14:ligatures w14:val="none"/>
        </w:rPr>
        <w:t>inform surgical decisions,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sample size calculation were frequently missing or insufficiently defined in pre-trial documents, undermining both methodological rigor and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patient-</w:t>
      </w:r>
      <w:r w:rsidR="00925633">
        <w:rPr>
          <w:rFonts w:ascii="Calibri" w:eastAsia="Times New Roman" w:hAnsi="Calibri" w:cs="Calibri"/>
          <w:kern w:val="0"/>
          <w:lang w:eastAsia="de-DE"/>
          <w14:ligatures w14:val="none"/>
        </w:rPr>
        <w:t>relevant research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663D1081" w14:textId="0F7ADBD6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 xml:space="preserve">A sample size calculation is the moment when investigators decide what difference truly matters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to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Without this reflection, trials risk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achieving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statistically significant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while remaining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clinically meaningless. The predominance of superiority designs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and their frequent failure to demonstrate superiority,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further indicates that surgical research often asks the wrong question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one that does not align with the </w:t>
      </w:r>
      <w:r w:rsidR="00F568D5">
        <w:rPr>
          <w:rFonts w:ascii="Calibri" w:eastAsia="Times New Roman" w:hAnsi="Calibri" w:cs="Calibri"/>
          <w:kern w:val="0"/>
          <w:lang w:eastAsia="de-DE"/>
          <w14:ligatures w14:val="none"/>
        </w:rPr>
        <w:t>specific decision to be informed</w:t>
      </w:r>
      <w:r w:rsidR="0042117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when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choosing</w:t>
      </w:r>
      <w:r w:rsidR="0042117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between two surgical interventions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. For example, i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n many surgical comparisons the relevant question is whether a new procedure achieves comparable oncological outcomes (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i.e.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non-inferior cancer-free survival) while reducing postoperative morbidity, rather than whether it is strictly superior on a single endpoint.</w:t>
      </w:r>
    </w:p>
    <w:p w14:paraId="6F1E8067" w14:textId="77777777" w:rsidR="00F46BFA" w:rsidRDefault="001D09A0" w:rsidP="00F46BFA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Conclusion</w:t>
      </w:r>
    </w:p>
    <w:p w14:paraId="5E3A0CB6" w14:textId="4FBAEB20" w:rsidR="00545285" w:rsidRPr="00F46BFA" w:rsidRDefault="002C1BF0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trials must operationalize clinical relevance from the outset. Investigators should define clear patient-centered objectives, justify effect sizes by what matters to patients, choose designs aligned with the clinical </w:t>
      </w:r>
      <w:r w:rsidR="00E91A07">
        <w:rPr>
          <w:rFonts w:ascii="Calibri" w:eastAsia="Times New Roman" w:hAnsi="Calibri" w:cs="Calibri"/>
          <w:kern w:val="0"/>
          <w:lang w:eastAsia="de-DE"/>
          <w14:ligatures w14:val="none"/>
        </w:rPr>
        <w:t>decision to be informed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including non-inferiority </w:t>
      </w:r>
      <w:r w:rsidR="00E91A07">
        <w:rPr>
          <w:rFonts w:ascii="Calibri" w:eastAsia="Times New Roman" w:hAnsi="Calibri" w:cs="Calibri"/>
          <w:kern w:val="0"/>
          <w:lang w:eastAsia="de-DE"/>
          <w14:ligatures w14:val="none"/>
        </w:rPr>
        <w:t>or superiority for primary and secondary outcomes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>and commit to interpreting results against prespecified clinical thresholds rather than p-values alone. Embedding these choices in pre-trial documents will strengthen transparency, improve interpretability, and convert publishable studies into practice-changing evidence.</w:t>
      </w:r>
    </w:p>
    <w:sectPr w:rsidR="00545285" w:rsidRPr="00F46B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riba abbassi" w:date="2025-10-28T18:02:00Z" w:initials="fa">
    <w:p w14:paraId="32A0BB2B" w14:textId="179828A3" w:rsidR="00F46BFA" w:rsidRDefault="001D09A0" w:rsidP="00F46BFA">
      <w:r>
        <w:rPr>
          <w:rStyle w:val="Kommentarzeichen"/>
        </w:rPr>
        <w:annotationRef/>
      </w:r>
      <w:r w:rsidR="00F46BFA">
        <w:rPr>
          <w:sz w:val="20"/>
          <w:szCs w:val="20"/>
        </w:rPr>
        <w:t>we could provide a table with this information, grouped by pre-trial document type, to show, that especially registry records are of very poor quality, while published protocols provide much more information.</w:t>
      </w:r>
    </w:p>
  </w:comment>
  <w:comment w:id="1" w:author="fariba abbassi" w:date="2025-10-30T18:53:00Z" w:initials="fa">
    <w:p w14:paraId="6943531E" w14:textId="77777777" w:rsidR="003B5DB5" w:rsidRDefault="003B5DB5" w:rsidP="003B5DB5">
      <w:r>
        <w:rPr>
          <w:rStyle w:val="Kommentarzeichen"/>
        </w:rPr>
        <w:annotationRef/>
      </w:r>
      <w:r>
        <w:rPr>
          <w:sz w:val="20"/>
          <w:szCs w:val="20"/>
        </w:rPr>
        <w:t>Joana and I need to extract this information first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A0BB2B" w15:done="0"/>
  <w15:commentEx w15:paraId="694353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07BE60" w16cex:dateUtc="2025-10-28T17:02:00Z"/>
  <w16cex:commentExtensible w16cex:durableId="7E280BB0" w16cex:dateUtc="2025-10-30T17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A0BB2B" w16cid:durableId="4E07BE60"/>
  <w16cid:commentId w16cid:paraId="6943531E" w16cid:durableId="7E280B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0"/>
    <w:rsid w:val="00030067"/>
    <w:rsid w:val="0003527F"/>
    <w:rsid w:val="0006139C"/>
    <w:rsid w:val="00070B1D"/>
    <w:rsid w:val="00090360"/>
    <w:rsid w:val="000953A6"/>
    <w:rsid w:val="00097855"/>
    <w:rsid w:val="000D321A"/>
    <w:rsid w:val="000E21D2"/>
    <w:rsid w:val="000E240F"/>
    <w:rsid w:val="000F66FA"/>
    <w:rsid w:val="00120B60"/>
    <w:rsid w:val="0015142E"/>
    <w:rsid w:val="00167844"/>
    <w:rsid w:val="001B2A06"/>
    <w:rsid w:val="001B7687"/>
    <w:rsid w:val="001D09A0"/>
    <w:rsid w:val="001D6A53"/>
    <w:rsid w:val="001E6CD4"/>
    <w:rsid w:val="001F68EF"/>
    <w:rsid w:val="001F7FEA"/>
    <w:rsid w:val="002239BB"/>
    <w:rsid w:val="00226B94"/>
    <w:rsid w:val="00252659"/>
    <w:rsid w:val="00270439"/>
    <w:rsid w:val="00284156"/>
    <w:rsid w:val="002A0DDB"/>
    <w:rsid w:val="002A25DF"/>
    <w:rsid w:val="002B3B49"/>
    <w:rsid w:val="002C1064"/>
    <w:rsid w:val="002C1BF0"/>
    <w:rsid w:val="00301AE3"/>
    <w:rsid w:val="00314AC0"/>
    <w:rsid w:val="00342AAE"/>
    <w:rsid w:val="0037403F"/>
    <w:rsid w:val="00385B81"/>
    <w:rsid w:val="00395FC8"/>
    <w:rsid w:val="003A242F"/>
    <w:rsid w:val="003B5DB5"/>
    <w:rsid w:val="003B7943"/>
    <w:rsid w:val="003D6348"/>
    <w:rsid w:val="004048B6"/>
    <w:rsid w:val="004062C0"/>
    <w:rsid w:val="00416E69"/>
    <w:rsid w:val="0042117F"/>
    <w:rsid w:val="00485EE9"/>
    <w:rsid w:val="004A2FCA"/>
    <w:rsid w:val="004E6BC9"/>
    <w:rsid w:val="00510C46"/>
    <w:rsid w:val="0053120D"/>
    <w:rsid w:val="00535A24"/>
    <w:rsid w:val="00545285"/>
    <w:rsid w:val="0056396C"/>
    <w:rsid w:val="00566C89"/>
    <w:rsid w:val="00581168"/>
    <w:rsid w:val="00597A2F"/>
    <w:rsid w:val="005A29E4"/>
    <w:rsid w:val="005A3D11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A4B6D"/>
    <w:rsid w:val="006B491A"/>
    <w:rsid w:val="006C09EE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455AE"/>
    <w:rsid w:val="0088584E"/>
    <w:rsid w:val="008A32FE"/>
    <w:rsid w:val="008C4E41"/>
    <w:rsid w:val="008E65FE"/>
    <w:rsid w:val="00904B93"/>
    <w:rsid w:val="00921A89"/>
    <w:rsid w:val="00925633"/>
    <w:rsid w:val="009350A3"/>
    <w:rsid w:val="00942466"/>
    <w:rsid w:val="009D503D"/>
    <w:rsid w:val="009F4126"/>
    <w:rsid w:val="00A047B3"/>
    <w:rsid w:val="00A17F3A"/>
    <w:rsid w:val="00A21BAC"/>
    <w:rsid w:val="00A21DC6"/>
    <w:rsid w:val="00A43CAB"/>
    <w:rsid w:val="00A6083C"/>
    <w:rsid w:val="00AB5731"/>
    <w:rsid w:val="00AD333C"/>
    <w:rsid w:val="00AD5EA4"/>
    <w:rsid w:val="00AD782E"/>
    <w:rsid w:val="00AF0D29"/>
    <w:rsid w:val="00B0759F"/>
    <w:rsid w:val="00B35645"/>
    <w:rsid w:val="00B4520F"/>
    <w:rsid w:val="00B5111A"/>
    <w:rsid w:val="00B62F21"/>
    <w:rsid w:val="00B7001D"/>
    <w:rsid w:val="00B7010B"/>
    <w:rsid w:val="00B81A9A"/>
    <w:rsid w:val="00B8768C"/>
    <w:rsid w:val="00B9628A"/>
    <w:rsid w:val="00B97839"/>
    <w:rsid w:val="00BD6375"/>
    <w:rsid w:val="00BF5D66"/>
    <w:rsid w:val="00CB17F6"/>
    <w:rsid w:val="00CD1849"/>
    <w:rsid w:val="00CD555F"/>
    <w:rsid w:val="00CD6EDC"/>
    <w:rsid w:val="00CD7C3E"/>
    <w:rsid w:val="00D14F2C"/>
    <w:rsid w:val="00D25F73"/>
    <w:rsid w:val="00D331D0"/>
    <w:rsid w:val="00D33C1E"/>
    <w:rsid w:val="00D6305F"/>
    <w:rsid w:val="00D66E39"/>
    <w:rsid w:val="00D67D58"/>
    <w:rsid w:val="00D82151"/>
    <w:rsid w:val="00DB2240"/>
    <w:rsid w:val="00DD1D21"/>
    <w:rsid w:val="00E0311A"/>
    <w:rsid w:val="00E3182D"/>
    <w:rsid w:val="00E529A4"/>
    <w:rsid w:val="00E702BE"/>
    <w:rsid w:val="00E82283"/>
    <w:rsid w:val="00E84E0C"/>
    <w:rsid w:val="00E91A07"/>
    <w:rsid w:val="00EA071D"/>
    <w:rsid w:val="00EA48F6"/>
    <w:rsid w:val="00EC6227"/>
    <w:rsid w:val="00F02BC4"/>
    <w:rsid w:val="00F35634"/>
    <w:rsid w:val="00F46BFA"/>
    <w:rsid w:val="00F568D5"/>
    <w:rsid w:val="00F74252"/>
    <w:rsid w:val="00F931D4"/>
    <w:rsid w:val="00F96FE8"/>
    <w:rsid w:val="00FB1C60"/>
    <w:rsid w:val="00FB65C1"/>
    <w:rsid w:val="00FC7739"/>
    <w:rsid w:val="00FD45E8"/>
    <w:rsid w:val="00FE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BC828"/>
  <w15:chartTrackingRefBased/>
  <w15:docId w15:val="{1534387F-FA98-4E40-BBAE-ED878A7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0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0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0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0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09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09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D09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09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09A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09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09A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09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09A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D0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09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0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09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09A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1D09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09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09A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D09A0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D09A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D0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D09A0"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09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D09A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D09A0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09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09A0"/>
    <w:rPr>
      <w:b/>
      <w:bCs/>
      <w:sz w:val="20"/>
      <w:szCs w:val="20"/>
      <w:lang w:val="en-US"/>
    </w:rPr>
  </w:style>
  <w:style w:type="paragraph" w:styleId="berarbeitung">
    <w:name w:val="Revision"/>
    <w:hidden/>
    <w:uiPriority w:val="99"/>
    <w:semiHidden/>
    <w:rsid w:val="0025265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3855</Characters>
  <Application>Microsoft Office Word</Application>
  <DocSecurity>0</DocSecurity>
  <Lines>32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28</cp:revision>
  <dcterms:created xsi:type="dcterms:W3CDTF">2025-10-29T14:56:00Z</dcterms:created>
  <dcterms:modified xsi:type="dcterms:W3CDTF">2025-10-30T18:14:00Z</dcterms:modified>
</cp:coreProperties>
</file>