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commentRangeStart w:id="0"/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  <w:commentRangeEnd w:id="0"/>
      <w:r>
        <w:rPr>
          <w:rStyle w:val="CommentReference"/>
        </w:rPr>
        <w:commentReference w:id="0"/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23CAA043" w:rsidR="007C5BAF" w:rsidRPr="0008213C" w:rsidRDefault="00F23FCA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Joana Rodrigues Ribeiro, MD</w:t>
      </w:r>
      <w:r w:rsidRPr="0008213C">
        <w:rPr>
          <w:rFonts w:ascii="Arial" w:hAnsi="Arial" w:cs="Arial"/>
          <w:sz w:val="22"/>
          <w:szCs w:val="22"/>
          <w:vertAlign w:val="superscript"/>
        </w:rPr>
        <w:t>1,2*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Fariba Abbassi, MD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1,2*</w:t>
      </w:r>
      <w:r w:rsidR="007C5BAF" w:rsidRPr="0008213C">
        <w:rPr>
          <w:rFonts w:ascii="Arial" w:hAnsi="Arial" w:cs="Arial"/>
          <w:sz w:val="22"/>
          <w:szCs w:val="22"/>
        </w:rPr>
        <w:t>; Matthias Pfister, MD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2,3</w:t>
      </w:r>
      <w:r w:rsidR="007C5BAF" w:rsidRPr="0008213C">
        <w:rPr>
          <w:rFonts w:ascii="Arial" w:hAnsi="Arial" w:cs="Arial"/>
          <w:sz w:val="22"/>
          <w:szCs w:val="22"/>
        </w:rPr>
        <w:t>; Pierre-Alain Clavien, MD, PhD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2,4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 xml:space="preserve">; Milo A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Puhan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>, MD, PhD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1,2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81101B1" w14:textId="77777777" w:rsidR="007C5BAF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1</w:t>
      </w:r>
      <w:r w:rsidRPr="0008213C">
        <w:rPr>
          <w:rFonts w:ascii="Arial" w:hAnsi="Arial" w:cs="Arial"/>
          <w:sz w:val="22"/>
          <w:szCs w:val="22"/>
        </w:rPr>
        <w:t>Epidemiology, Biostatistics and Prevention Institute, University of Zurich,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3F7AD6FE" w14:textId="77777777" w:rsidR="007C5BAF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2</w:t>
      </w:r>
      <w:r w:rsidRPr="0008213C">
        <w:rPr>
          <w:rFonts w:ascii="Arial" w:hAnsi="Arial" w:cs="Arial"/>
          <w:sz w:val="22"/>
          <w:szCs w:val="22"/>
        </w:rPr>
        <w:t>Hub for Translational Research and Liver/GI Health, FZ-Healthcare Foundation, Zurich, Switzerland</w:t>
      </w:r>
    </w:p>
    <w:p w14:paraId="66969321" w14:textId="77777777" w:rsidR="007C5BAF" w:rsidRDefault="007C5BAF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3</w:t>
      </w:r>
      <w:r w:rsidRPr="0008213C">
        <w:rPr>
          <w:rFonts w:ascii="Arial" w:hAnsi="Arial" w:cs="Arial"/>
          <w:sz w:val="22"/>
          <w:szCs w:val="22"/>
        </w:rPr>
        <w:t xml:space="preserve">Department of Surgery, Cantonal Hospital Thurgau, </w:t>
      </w:r>
      <w:proofErr w:type="spellStart"/>
      <w:r w:rsidRPr="0008213C">
        <w:rPr>
          <w:rFonts w:ascii="Arial" w:hAnsi="Arial" w:cs="Arial"/>
          <w:sz w:val="22"/>
          <w:szCs w:val="22"/>
        </w:rPr>
        <w:t>Frauenfeld</w:t>
      </w:r>
      <w:proofErr w:type="spellEnd"/>
      <w:r w:rsidRPr="0008213C"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  <w:vertAlign w:val="superscript"/>
        </w:rPr>
        <w:t>4</w:t>
      </w:r>
      <w:r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5AE47364" w14:textId="5F97B856" w:rsidR="007C5BAF" w:rsidRPr="0008213C" w:rsidRDefault="00D612AA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Concept: No planning -&gt; no reporting -&gt; failure to achieve clinical meaningfulness </w:t>
      </w:r>
    </w:p>
    <w:p w14:paraId="2594A7B9" w14:textId="3DF93990" w:rsidR="00E5429A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considered the gold standard for generating 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have 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lack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rarely place patients at the center of their 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 incompletely and inconsistently reported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Poor reporting, however, may only be the symptom of a deeper issue, namely, inadequate trial planning.</w:t>
      </w:r>
    </w:p>
    <w:p w14:paraId="6B27B60C" w14:textId="6FE9347F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meta-research study aims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primarily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investigate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extent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of shortcomings in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surgical RCTs 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planning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, and secondly to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assess clinical relevance in trial design, endpoints, and interpretation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D7FD7D4" w14:textId="3D116599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first piloted 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 xml:space="preserve">). As the CCI® is the only validated and patient-relevant measure of postoperative morbidity, </w:t>
      </w:r>
      <w:r>
        <w:rPr>
          <w:rFonts w:ascii="Arial" w:hAnsi="Arial" w:cs="Arial"/>
          <w:sz w:val="22"/>
          <w:szCs w:val="22"/>
        </w:rPr>
        <w:t xml:space="preserve">we assumed that </w:t>
      </w:r>
      <w:r w:rsidRPr="0008213C">
        <w:rPr>
          <w:rFonts w:ascii="Arial" w:hAnsi="Arial" w:cs="Arial"/>
          <w:sz w:val="22"/>
          <w:szCs w:val="22"/>
        </w:rPr>
        <w:t xml:space="preserve">trials using this outcome </w:t>
      </w:r>
      <w:r>
        <w:rPr>
          <w:rFonts w:ascii="Arial" w:hAnsi="Arial" w:cs="Arial"/>
          <w:sz w:val="22"/>
          <w:szCs w:val="22"/>
        </w:rPr>
        <w:t>would have the</w:t>
      </w:r>
      <w:r w:rsidRPr="0008213C">
        <w:rPr>
          <w:rFonts w:ascii="Arial" w:hAnsi="Arial" w:cs="Arial"/>
          <w:sz w:val="22"/>
          <w:szCs w:val="22"/>
        </w:rPr>
        <w:t xml:space="preserve"> large</w:t>
      </w:r>
      <w:r>
        <w:rPr>
          <w:rFonts w:ascii="Arial" w:hAnsi="Arial" w:cs="Arial"/>
          <w:sz w:val="22"/>
          <w:szCs w:val="22"/>
        </w:rPr>
        <w:t>st</w:t>
      </w:r>
      <w:r w:rsidRPr="0008213C">
        <w:rPr>
          <w:rFonts w:ascii="Arial" w:hAnsi="Arial" w:cs="Arial"/>
          <w:sz w:val="22"/>
          <w:szCs w:val="22"/>
        </w:rPr>
        <w:t xml:space="preserve"> potential to inform meaningful decision making. </w:t>
      </w:r>
      <w:r w:rsidR="001E3A1F">
        <w:rPr>
          <w:rFonts w:ascii="Arial" w:hAnsi="Arial" w:cs="Arial"/>
          <w:sz w:val="22"/>
          <w:szCs w:val="22"/>
        </w:rPr>
        <w:t>W</w:t>
      </w:r>
      <w:r w:rsidRPr="006666A7">
        <w:rPr>
          <w:rFonts w:ascii="Arial" w:hAnsi="Arial" w:cs="Arial"/>
          <w:sz w:val="22"/>
          <w:szCs w:val="22"/>
        </w:rPr>
        <w:t>e extracted</w:t>
      </w:r>
      <w:r w:rsidR="001E3A1F">
        <w:rPr>
          <w:rFonts w:ascii="Arial" w:hAnsi="Arial" w:cs="Arial"/>
          <w:sz w:val="22"/>
          <w:szCs w:val="22"/>
        </w:rPr>
        <w:t xml:space="preserve"> from both </w:t>
      </w:r>
      <w:r w:rsidR="001E3A1F" w:rsidRPr="006666A7">
        <w:rPr>
          <w:rFonts w:ascii="Arial" w:hAnsi="Arial" w:cs="Arial"/>
          <w:sz w:val="22"/>
          <w:szCs w:val="22"/>
        </w:rPr>
        <w:t>pre-trial documentation and</w:t>
      </w:r>
      <w:r w:rsidR="001E3A1F">
        <w:rPr>
          <w:rFonts w:ascii="Arial" w:hAnsi="Arial" w:cs="Arial"/>
          <w:sz w:val="22"/>
          <w:szCs w:val="22"/>
        </w:rPr>
        <w:t xml:space="preserve"> </w:t>
      </w:r>
      <w:r w:rsidR="001E3A1F" w:rsidRPr="006666A7">
        <w:rPr>
          <w:rFonts w:ascii="Arial" w:hAnsi="Arial" w:cs="Arial"/>
          <w:sz w:val="22"/>
          <w:szCs w:val="22"/>
        </w:rPr>
        <w:t>final publication</w:t>
      </w:r>
      <w:r w:rsidRPr="006666A7">
        <w:rPr>
          <w:rFonts w:ascii="Arial" w:hAnsi="Arial" w:cs="Arial"/>
          <w:sz w:val="22"/>
          <w:szCs w:val="22"/>
        </w:rPr>
        <w:t xml:space="preserve"> </w:t>
      </w:r>
      <w:r w:rsidR="001E3A1F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reported </w:t>
      </w:r>
      <w:r w:rsidRPr="006666A7">
        <w:rPr>
          <w:rFonts w:ascii="Arial" w:hAnsi="Arial" w:cs="Arial"/>
          <w:sz w:val="22"/>
          <w:szCs w:val="22"/>
        </w:rPr>
        <w:t>trial 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 xml:space="preserve">For trials </w:t>
      </w:r>
      <w:r w:rsidR="00646A5D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>with</w:t>
      </w:r>
      <w:r w:rsidRPr="00AD7A31">
        <w:rPr>
          <w:rFonts w:ascii="Arial" w:eastAsia="Times New Roman" w:hAnsi="Arial" w:cs="Arial"/>
          <w:kern w:val="0"/>
          <w:sz w:val="22"/>
          <w:szCs w:val="22"/>
          <w:highlight w:val="yellow"/>
          <w:lang w:eastAsia="de-DE"/>
          <w14:ligatures w14:val="none"/>
        </w:rPr>
        <w:t xml:space="preserve"> statistically significant primary endpoint, we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assessed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whether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results were interpreted as clinically meaningful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01F7F37" w14:textId="56970B71" w:rsidR="007C5BAF" w:rsidRPr="006749D7" w:rsidRDefault="007C5BAF" w:rsidP="001E3A1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</w:t>
      </w:r>
      <w:r w:rsidR="001E3A1F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1E3A1F" w:rsidRPr="001E3A1F">
        <w:rPr>
          <w:rFonts w:ascii="Arial" w:hAnsi="Arial" w:cs="Arial"/>
          <w:sz w:val="22"/>
          <w:szCs w:val="22"/>
        </w:rPr>
        <w:t>(87 published, 49 ongoing). Pre-trial documents were available for 84 published trials (98%)</w:t>
      </w:r>
      <w:r w:rsidR="00646A5D">
        <w:rPr>
          <w:rFonts w:ascii="Arial" w:hAnsi="Arial" w:cs="Arial"/>
          <w:sz w:val="22"/>
          <w:szCs w:val="22"/>
        </w:rPr>
        <w:t>, with p</w:t>
      </w:r>
      <w:r w:rsidR="001E3A1F" w:rsidRPr="001E3A1F">
        <w:rPr>
          <w:rFonts w:ascii="Arial" w:hAnsi="Arial" w:cs="Arial"/>
          <w:sz w:val="22"/>
          <w:szCs w:val="22"/>
        </w:rPr>
        <w:t xml:space="preserve">rimary endpoints defined in all (100%), but study design reported </w:t>
      </w:r>
      <w:r w:rsidR="00646A5D">
        <w:rPr>
          <w:rFonts w:ascii="Arial" w:hAnsi="Arial" w:cs="Arial"/>
          <w:sz w:val="22"/>
          <w:szCs w:val="22"/>
        </w:rPr>
        <w:t>in</w:t>
      </w:r>
      <w:r w:rsidR="001E3A1F" w:rsidRPr="001E3A1F">
        <w:rPr>
          <w:rFonts w:ascii="Arial" w:hAnsi="Arial" w:cs="Arial"/>
          <w:sz w:val="22"/>
          <w:szCs w:val="22"/>
        </w:rPr>
        <w:t xml:space="preserve"> only 23 (27%). Among the </w:t>
      </w:r>
      <w:r w:rsidR="00646A5D">
        <w:rPr>
          <w:rFonts w:ascii="Arial" w:hAnsi="Arial" w:cs="Arial"/>
          <w:sz w:val="22"/>
          <w:szCs w:val="22"/>
        </w:rPr>
        <w:t>final</w:t>
      </w:r>
      <w:r w:rsidR="001E3A1F" w:rsidRPr="001E3A1F">
        <w:rPr>
          <w:rFonts w:ascii="Arial" w:hAnsi="Arial" w:cs="Arial"/>
          <w:sz w:val="22"/>
          <w:szCs w:val="22"/>
        </w:rPr>
        <w:t xml:space="preserve"> publications, </w:t>
      </w:r>
      <w:r w:rsidR="00646A5D" w:rsidRPr="00646A5D">
        <w:rPr>
          <w:rFonts w:ascii="Arial" w:hAnsi="Arial" w:cs="Arial"/>
          <w:sz w:val="22"/>
          <w:szCs w:val="22"/>
        </w:rPr>
        <w:t>20 (23%) specified a superiority design, 12 (14%) a non-inferiority design, and the 55 trials without a reported study aim were effectively superiority trials.</w:t>
      </w:r>
      <w:r w:rsidR="00646A5D">
        <w:rPr>
          <w:rFonts w:ascii="Arial" w:hAnsi="Arial" w:cs="Arial"/>
          <w:sz w:val="22"/>
          <w:szCs w:val="22"/>
        </w:rPr>
        <w:t xml:space="preserve"> S</w:t>
      </w:r>
      <w:r w:rsidR="001E3A1F" w:rsidRPr="001E3A1F">
        <w:rPr>
          <w:rFonts w:ascii="Arial" w:hAnsi="Arial" w:cs="Arial"/>
          <w:sz w:val="22"/>
          <w:szCs w:val="22"/>
        </w:rPr>
        <w:t xml:space="preserve">ample size calculations were </w:t>
      </w:r>
      <w:r w:rsidR="00646A5D">
        <w:rPr>
          <w:rFonts w:ascii="Arial" w:hAnsi="Arial" w:cs="Arial"/>
          <w:sz w:val="22"/>
          <w:szCs w:val="22"/>
        </w:rPr>
        <w:t>provided</w:t>
      </w:r>
      <w:r w:rsidR="001E3A1F" w:rsidRPr="001E3A1F">
        <w:rPr>
          <w:rFonts w:ascii="Arial" w:hAnsi="Arial" w:cs="Arial"/>
          <w:sz w:val="22"/>
          <w:szCs w:val="22"/>
        </w:rPr>
        <w:t xml:space="preserve"> in 84</w:t>
      </w:r>
      <w:r w:rsidR="00646A5D">
        <w:rPr>
          <w:rFonts w:ascii="Arial" w:hAnsi="Arial" w:cs="Arial"/>
          <w:sz w:val="22"/>
          <w:szCs w:val="22"/>
        </w:rPr>
        <w:t xml:space="preserve"> trials</w:t>
      </w:r>
      <w:r w:rsidR="001E3A1F" w:rsidRPr="001E3A1F">
        <w:rPr>
          <w:rFonts w:ascii="Arial" w:hAnsi="Arial" w:cs="Arial"/>
          <w:sz w:val="22"/>
          <w:szCs w:val="22"/>
        </w:rPr>
        <w:t xml:space="preserve"> (98%), and 44 (51%) achieved statistical significance for their primary endpoint. However, only 9 (</w:t>
      </w:r>
      <w:r w:rsidR="001E3A1F" w:rsidRPr="00646A5D">
        <w:rPr>
          <w:rFonts w:ascii="Arial" w:hAnsi="Arial" w:cs="Arial"/>
          <w:sz w:val="22"/>
          <w:szCs w:val="22"/>
          <w:highlight w:val="yellow"/>
        </w:rPr>
        <w:t>20%)</w:t>
      </w:r>
      <w:r w:rsidR="001E3A1F" w:rsidRPr="001E3A1F">
        <w:rPr>
          <w:rFonts w:ascii="Arial" w:hAnsi="Arial" w:cs="Arial"/>
          <w:sz w:val="22"/>
          <w:szCs w:val="22"/>
        </w:rPr>
        <w:t xml:space="preserve"> interpreted results from a clinical perspective.</w:t>
      </w:r>
    </w:p>
    <w:p w14:paraId="21623E8D" w14:textId="3E96DF5B" w:rsidR="00E5429A" w:rsidRPr="0008213C" w:rsidRDefault="007C5BAF" w:rsidP="00646A5D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Endpoints and sample sizes were usually reported, but study design and clinical interpretation were lacking.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These findings highlight substantial shortcomings in trial planning and underscore the need for more rigorous consideration of clinical relevance when designing and reporting RCTs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results of the final phase of our research will be presented at the congress.</w:t>
      </w:r>
      <w:r w:rsidR="00E5429A" w:rsidRPr="00D612A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131CFF6B" w14:textId="77777777" w:rsidR="00646A5D" w:rsidRDefault="00646A5D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30E2D81C" w14:textId="19D560DE" w:rsidR="007C5BAF" w:rsidRPr="00D92E5F" w:rsidRDefault="007C5BAF" w:rsidP="007C5BAF">
      <w:pPr>
        <w:rPr>
          <w:rFonts w:ascii="Arial" w:hAnsi="Arial" w:cs="Arial"/>
          <w:b/>
          <w:bCs/>
          <w:sz w:val="22"/>
          <w:szCs w:val="22"/>
        </w:rPr>
      </w:pPr>
      <w:r w:rsidRPr="00D92E5F">
        <w:rPr>
          <w:rFonts w:ascii="Arial" w:hAnsi="Arial" w:cs="Arial"/>
          <w:b/>
          <w:bCs/>
          <w:iCs/>
          <w:sz w:val="22"/>
          <w:szCs w:val="22"/>
        </w:rPr>
        <w:lastRenderedPageBreak/>
        <w:t>Table 1</w:t>
      </w:r>
      <w:r w:rsidRPr="00D92E5F">
        <w:rPr>
          <w:rFonts w:ascii="Arial" w:hAnsi="Arial" w:cs="Arial"/>
          <w:b/>
          <w:bCs/>
          <w:sz w:val="22"/>
          <w:szCs w:val="22"/>
        </w:rPr>
        <w:t xml:space="preserve">. </w:t>
      </w:r>
      <w:r w:rsidRPr="00D92E5F">
        <w:rPr>
          <w:rFonts w:ascii="Arial" w:hAnsi="Arial" w:cs="Arial"/>
          <w:b/>
          <w:bCs/>
          <w:iCs/>
          <w:sz w:val="22"/>
          <w:szCs w:val="22"/>
        </w:rPr>
        <w:t xml:space="preserve">Information </w:t>
      </w:r>
      <w:r w:rsidR="00646A5D">
        <w:rPr>
          <w:rFonts w:ascii="Arial" w:hAnsi="Arial" w:cs="Arial"/>
          <w:b/>
          <w:bCs/>
          <w:iCs/>
          <w:sz w:val="22"/>
          <w:szCs w:val="22"/>
        </w:rPr>
        <w:t>Reported</w:t>
      </w:r>
      <w:r w:rsidRPr="00D92E5F">
        <w:rPr>
          <w:rFonts w:ascii="Arial" w:hAnsi="Arial" w:cs="Arial"/>
          <w:b/>
          <w:bCs/>
          <w:iCs/>
          <w:sz w:val="22"/>
          <w:szCs w:val="22"/>
        </w:rPr>
        <w:t xml:space="preserve"> in Pre-trial Documents of Published Randomized Controlled Trials</w:t>
      </w:r>
    </w:p>
    <w:p w14:paraId="09897D0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261"/>
        <w:gridCol w:w="2268"/>
        <w:gridCol w:w="2835"/>
        <w:gridCol w:w="1812"/>
        <w:gridCol w:w="9"/>
      </w:tblGrid>
      <w:tr w:rsidR="007C5BAF" w:rsidRPr="0008213C" w14:paraId="717124F9" w14:textId="77777777" w:rsidTr="004A7ECF">
        <w:trPr>
          <w:gridAfter w:val="1"/>
          <w:wAfter w:w="9" w:type="dxa"/>
          <w:tblHeader/>
          <w:jc w:val="center"/>
        </w:trPr>
        <w:tc>
          <w:tcPr>
            <w:tcW w:w="32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4DA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8BD74" w14:textId="1C91B8D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Protocol published</w:t>
            </w:r>
            <w:r w:rsidRPr="0008213C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31</w:t>
            </w:r>
          </w:p>
        </w:tc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DCBC" w14:textId="4DA8B463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Protocol unpublished</w:t>
            </w:r>
            <w:r w:rsidRPr="0008213C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8</w:t>
            </w:r>
          </w:p>
        </w:tc>
        <w:tc>
          <w:tcPr>
            <w:tcW w:w="18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1115" w14:textId="1749500C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Registry records</w:t>
            </w:r>
            <w:r w:rsidRPr="0008213C">
              <w:rPr>
                <w:rFonts w:ascii="Arial" w:hAnsi="Arial" w:cs="Arial"/>
                <w:sz w:val="22"/>
                <w:szCs w:val="22"/>
              </w:rPr>
              <w:br/>
              <w:t>N = 45</w:t>
            </w:r>
          </w:p>
        </w:tc>
      </w:tr>
      <w:tr w:rsidR="007C5BAF" w:rsidRPr="0008213C" w14:paraId="78DBEE58" w14:textId="77777777" w:rsidTr="004A7ECF">
        <w:trPr>
          <w:gridAfter w:val="1"/>
          <w:wAfter w:w="9" w:type="dxa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45633" w14:textId="29F1F02E" w:rsidR="007C5BAF" w:rsidRPr="00646A5D" w:rsidRDefault="007C5BAF" w:rsidP="002742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Primary endpoint </w:t>
            </w:r>
          </w:p>
          <w:p w14:paraId="753985AA" w14:textId="1068AE59" w:rsidR="007C5BAF" w:rsidRPr="00646A5D" w:rsidRDefault="007C5BAF" w:rsidP="002742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Study </w:t>
            </w:r>
            <w:r w:rsidR="00646A5D"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9C3C5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  <w:p w14:paraId="69681D87" w14:textId="50BCC0C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1B063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  <w:p w14:paraId="2518B8D5" w14:textId="743C7220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78850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45 (100%)</w:t>
            </w:r>
          </w:p>
          <w:p w14:paraId="44B54319" w14:textId="4DF31BAD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C5BAF" w:rsidRPr="0008213C" w14:paraId="567B35A8" w14:textId="77777777" w:rsidTr="004A7ECF">
        <w:trPr>
          <w:gridAfter w:val="1"/>
          <w:wAfter w:w="9" w:type="dxa"/>
          <w:trHeight w:val="85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3A520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2798B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10 (32%)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D96D3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FE183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2 (4%)</w:t>
            </w:r>
          </w:p>
        </w:tc>
      </w:tr>
      <w:tr w:rsidR="007C5BAF" w:rsidRPr="0008213C" w14:paraId="3CDC4F4E" w14:textId="77777777" w:rsidTr="004A7ECF">
        <w:trPr>
          <w:gridAfter w:val="1"/>
          <w:wAfter w:w="9" w:type="dxa"/>
          <w:trHeight w:val="180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64A6B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1C34A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6 (19%)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DAE3E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81D9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 (2%)</w:t>
            </w:r>
          </w:p>
        </w:tc>
      </w:tr>
      <w:tr w:rsidR="007C5BAF" w:rsidRPr="0008213C" w14:paraId="4B45B3F7" w14:textId="77777777" w:rsidTr="004A7ECF">
        <w:trPr>
          <w:gridAfter w:val="1"/>
          <w:wAfter w:w="9" w:type="dxa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B2558" w14:textId="77777777" w:rsidR="007C5BAF" w:rsidRPr="0008213C" w:rsidRDefault="007C5BAF" w:rsidP="0027425C">
            <w:pPr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4A224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15 (48%)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D44FA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BF514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42 (93%)</w:t>
            </w:r>
          </w:p>
        </w:tc>
      </w:tr>
      <w:tr w:rsidR="007C5BAF" w:rsidRPr="0008213C" w14:paraId="2971C6BC" w14:textId="77777777" w:rsidTr="004A7ECF">
        <w:trPr>
          <w:gridAfter w:val="1"/>
          <w:wAfter w:w="9" w:type="dxa"/>
          <w:jc w:val="center"/>
        </w:trPr>
        <w:tc>
          <w:tcPr>
            <w:tcW w:w="3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E1B1E" w14:textId="7771A4E6" w:rsidR="007C5BAF" w:rsidRPr="00646A5D" w:rsidRDefault="007C5BAF" w:rsidP="002742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46A5D">
              <w:rPr>
                <w:rFonts w:ascii="Arial" w:hAnsi="Arial" w:cs="Arial"/>
                <w:b/>
                <w:bCs/>
                <w:sz w:val="22"/>
                <w:szCs w:val="22"/>
              </w:rPr>
              <w:t>Sample size calculation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343FD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31 (100%)</w:t>
            </w:r>
          </w:p>
        </w:tc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3FE93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A3A0D" w14:textId="77777777" w:rsidR="007C5BAF" w:rsidRPr="0008213C" w:rsidRDefault="007C5BAF" w:rsidP="004A7E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213C">
              <w:rPr>
                <w:rFonts w:ascii="Arial" w:hAnsi="Arial" w:cs="Arial"/>
                <w:sz w:val="22"/>
                <w:szCs w:val="22"/>
              </w:rPr>
              <w:t>6 (13%)</w:t>
            </w:r>
          </w:p>
        </w:tc>
      </w:tr>
      <w:tr w:rsidR="007C5BAF" w:rsidRPr="0008213C" w14:paraId="538512B4" w14:textId="77777777" w:rsidTr="0027425C">
        <w:trPr>
          <w:jc w:val="center"/>
        </w:trPr>
        <w:tc>
          <w:tcPr>
            <w:tcW w:w="1018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F51D" w14:textId="2EEA2456" w:rsidR="007C5BAF" w:rsidRPr="004A7ECF" w:rsidRDefault="004A7ECF" w:rsidP="004A7ECF">
            <w:pPr>
              <w:rPr>
                <w:rFonts w:ascii="Arial" w:hAnsi="Arial" w:cs="Arial"/>
                <w:sz w:val="21"/>
                <w:szCs w:val="21"/>
              </w:rPr>
            </w:pPr>
            <w:r w:rsidRPr="004A7ECF">
              <w:rPr>
                <w:rFonts w:ascii="Arial" w:hAnsi="Arial" w:cs="Arial"/>
                <w:sz w:val="21"/>
                <w:szCs w:val="21"/>
              </w:rPr>
              <w:t>Discrete variables are provided in number (percentage(%)).</w:t>
            </w:r>
          </w:p>
        </w:tc>
      </w:tr>
    </w:tbl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na Rodrigues Ribeiro" w:date="2025-12-21T17:34:00Z" w:initials="JRR">
    <w:p w14:paraId="7E7D11AB" w14:textId="77777777" w:rsidR="007C5BAF" w:rsidRDefault="007C5BAF" w:rsidP="007C5BAF">
      <w:r>
        <w:rPr>
          <w:rStyle w:val="CommentReference"/>
        </w:rPr>
        <w:annotationRef/>
      </w:r>
      <w:r>
        <w:rPr>
          <w:sz w:val="20"/>
          <w:szCs w:val="20"/>
        </w:rPr>
        <w:t>300 words max, excluding title, authors, affiliations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7D11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1FF7BF" w16cex:dateUtc="2025-12-21T16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7D11AB" w16cid:durableId="0B1FF7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a Rodrigues Ribeiro">
    <w15:presenceInfo w15:providerId="AD" w15:userId="S::joana.rodriguesribeiro@uzh.ch::499380a5-f773-4f1f-a8cf-83b4ebcd6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1E3A1F"/>
    <w:rsid w:val="00284B5D"/>
    <w:rsid w:val="002A61FC"/>
    <w:rsid w:val="002F5338"/>
    <w:rsid w:val="004A265B"/>
    <w:rsid w:val="004A7ECF"/>
    <w:rsid w:val="0059269F"/>
    <w:rsid w:val="00595AAA"/>
    <w:rsid w:val="005F5E58"/>
    <w:rsid w:val="005F7E03"/>
    <w:rsid w:val="00646A5D"/>
    <w:rsid w:val="006B2686"/>
    <w:rsid w:val="007C5BAF"/>
    <w:rsid w:val="007F5632"/>
    <w:rsid w:val="00804D5D"/>
    <w:rsid w:val="009548A9"/>
    <w:rsid w:val="009E184A"/>
    <w:rsid w:val="00A6635E"/>
    <w:rsid w:val="00C021DE"/>
    <w:rsid w:val="00C470E2"/>
    <w:rsid w:val="00C67843"/>
    <w:rsid w:val="00CC088E"/>
    <w:rsid w:val="00CD0842"/>
    <w:rsid w:val="00D139CC"/>
    <w:rsid w:val="00D612AA"/>
    <w:rsid w:val="00DC38BF"/>
    <w:rsid w:val="00E31FA5"/>
    <w:rsid w:val="00E5429A"/>
    <w:rsid w:val="00EF7BB2"/>
    <w:rsid w:val="00F01C6B"/>
    <w:rsid w:val="00F2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C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5B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4</cp:revision>
  <dcterms:created xsi:type="dcterms:W3CDTF">2025-12-22T15:09:00Z</dcterms:created>
  <dcterms:modified xsi:type="dcterms:W3CDTF">2025-12-24T13:37:00Z</dcterms:modified>
</cp:coreProperties>
</file>