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Information provided in pre-trial registrations of published RCTs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20"/>
        <w:gridCol w:w="2525"/>
        <w:gridCol w:w="2794"/>
        <w:gridCol w:w="2635"/>
      </w:tblGrid>
      <w:tr>
        <w:trPr>
          <w:trHeight w:val="78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Protocol published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Protocol unpublished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protocol,registry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aim for primary endpoint explicited in published trial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8/31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3/8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9/45 (20%)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6/31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5/45 (11%)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0/45 (0%)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17/31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5/8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31/45 (69%)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aim for secondary endpoint explicited in published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1/14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2/14 (14%)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0/14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0/14 (0%)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0/14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0/14 (0%)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13/14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3/3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12/14 (86%)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aim for primary endpoint explicited in pre-trial registration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10/31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4/8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2/45 (4%)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6/31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1/45 (2%)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0/45 (0%)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15/31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4/8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42/45 (93%)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aim for secondary endpoint explicited in pre-trial registration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2/31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0/45 (0%)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0/45 (0%)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1/31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0/45 (0%)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28/31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8/8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45/45 (100%)</w:t>
            </w:r>
          </w:p>
        </w:tc>
      </w:tr>
      <w:tr>
        <w:trPr>
          <w:trHeight w:val="62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 in pre-trial registration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Calculated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31/31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8/8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6/45 (13%)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calculated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0/31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39/45 (87%)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n/N Non-missing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Discrete variables are expressed in percentage (number of observations/ total)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       </w:t>
            </w:r>
          </w:p>
        </w:tc>
      </w:tr>
      <w:tr>
        <w:trPr>
          <w:trHeight w:val="360" w:hRule="auto"/>
        </w:trPr>
        footer 3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RCT, Randomized Controlled Trial.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2025-11-03T09:45:05Z</dcterms:modified>
  <cp:category/>
</cp:coreProperties>
</file>