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Concordance Analysis Between Pre-trial Documentation and Published Trials for CCI® Designation as an Endpoint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2770"/>
        <w:gridCol w:w="3246"/>
      </w:tblGrid>
      <w:tr>
        <w:trPr>
          <w:trHeight w:val="78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CCI(R) as an endpoint in published trial</w:t>
            </w:r>
          </w:p>
        </w:tc>
      </w:tr>
      <w:tr>
        <w:trPr>
          <w:trHeight w:val="781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70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CCI(R) as an endpoint in pre-trial documentation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85.7% (12/14)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2.9% (2/70)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non-primary endpoint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0.0% (0/14)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37.1% (26/70)</w:t>
            </w:r>
          </w:p>
        </w:tc>
      </w:tr>
      <w:tr>
        <w:trPr>
          <w:trHeight w:val="619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CCI not an endpoint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14.3% (2/14)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60.0% (42/70)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 (n/N Non-missing)</w:t>
            </w:r>
          </w:p>
        </w:tc>
      </w:tr>
      <w:tr>
        <w:trPr>
          <w:trHeight w:val="360" w:hRule="auto"/>
        </w:trPr>
        footer2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 Studies with CCI(R) designation as non-primary endpoint consist of studies with CCI(R) designation as either secondary or exploratory endpoint.</w:t>
            </w:r>
          </w:p>
        </w:tc>
      </w:tr>
      <w:tr>
        <w:trPr>
          <w:trHeight w:val="360" w:hRule="auto"/>
        </w:trPr>
        footer3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Abbreviations: CCI(R), Comprehesive Complication Index; RCT, Randomized Controlled Trial.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joanarodriguesribeiro</cp:lastModifiedBy>
  <cp:revision>9</cp:revision>
  <dcterms:created xsi:type="dcterms:W3CDTF">2017-02-28T11:18:00Z</dcterms:created>
  <dcterms:modified xsi:type="dcterms:W3CDTF">2025-10-15T10:43:12Z</dcterms:modified>
  <cp:category/>
</cp:coreProperties>
</file>