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0B5D4A"/>
          <w:sz w:val="60"/>
        </w:rPr>
        <w:t>DumosRx</w:t>
      </w:r>
    </w:p>
    <w:p>
      <w:pPr>
        <w:spacing w:after="40"/>
        <w:jc w:val="center"/>
      </w:pPr>
      <w:r>
        <w:rPr>
          <w:b/>
          <w:i w:val="0"/>
          <w:color w:val="333F4E"/>
          <w:sz w:val="30"/>
        </w:rPr>
        <w:t>Partner Standard Operating Procedure</w:t>
      </w:r>
    </w:p>
    <w:p>
      <w:pPr>
        <w:spacing w:after="280"/>
        <w:jc w:val="center"/>
      </w:pPr>
      <w:r>
        <w:rPr>
          <w:b w:val="0"/>
          <w:i/>
          <w:color w:val="6B7280"/>
          <w:sz w:val="21"/>
        </w:rPr>
        <w:t>How partners onboard pharmacies, manage their accounts, and earn</w:t>
      </w:r>
    </w:p>
    <w:p>
      <w:pPr>
        <w:spacing w:after="40"/>
        <w:jc w:val="center"/>
      </w:pPr>
      <w:r>
        <w:rPr>
          <w:b w:val="0"/>
          <w:i w:val="0"/>
          <w:color w:val="6B7280"/>
          <w:sz w:val="19"/>
        </w:rPr>
        <w:t>Version 1.0, October 2026</w:t>
      </w:r>
    </w:p>
    <w:p>
      <w:pPr>
        <w:spacing w:after="320"/>
        <w:jc w:val="center"/>
      </w:pPr>
      <w:r>
        <w:rPr>
          <w:b w:val="0"/>
          <w:i/>
          <w:color w:val="6B7280"/>
          <w:sz w:val="18"/>
        </w:rPr>
        <w:t>Confidential: for DumosRx partners only. Do not circulate outside the partner team.</w:t>
      </w:r>
    </w:p>
    <w:p>
      <w:pPr>
        <w:pStyle w:val="Heading1"/>
      </w:pPr>
      <w:r>
        <w:t>1. Who you are in this business</w:t>
      </w:r>
    </w:p>
    <w:p>
      <w:pPr>
        <w:spacing w:after="120"/>
      </w:pPr>
      <w:r>
        <w:rPr>
          <w:b w:val="0"/>
          <w:i w:val="0"/>
          <w:sz w:val="21"/>
        </w:rPr>
        <w:t>Your job title is Account Manager. Every pharmacy that signs up through you is assigned to you permanently, and you own that relationship from first demo to daily use.</w:t>
      </w:r>
    </w:p>
    <w:p>
      <w:pPr>
        <w:spacing w:after="120"/>
      </w:pPr>
      <w:r>
        <w:rPr>
          <w:b/>
          <w:sz w:val="21"/>
        </w:rPr>
        <w:t xml:space="preserve">Three different names for related things, so they do not confuse you: </w:t>
      </w:r>
    </w:p>
    <w:p>
      <w:pPr>
        <w:pStyle w:val="ListBullet"/>
        <w:spacing w:after="60"/>
      </w:pPr>
      <w:r>
        <w:rPr>
          <w:b/>
          <w:sz w:val="21"/>
        </w:rPr>
        <w:t>Account Manager</w:t>
      </w:r>
      <w:r>
        <w:rPr>
          <w:b w:val="0"/>
          <w:sz w:val="21"/>
        </w:rPr>
        <w:t xml:space="preserve"> is your job. It is the word to use with clients.</w:t>
      </w:r>
    </w:p>
    <w:p>
      <w:pPr>
        <w:pStyle w:val="ListBullet"/>
        <w:spacing w:after="60"/>
      </w:pPr>
      <w:r>
        <w:rPr>
          <w:b/>
          <w:sz w:val="21"/>
        </w:rPr>
        <w:t>Platform Admin</w:t>
      </w:r>
      <w:r>
        <w:rPr>
          <w:b w:val="0"/>
          <w:sz w:val="21"/>
        </w:rPr>
        <w:t xml:space="preserve"> is your login role inside the admin panel. That is what the system calls your access level, not your job.</w:t>
      </w:r>
    </w:p>
    <w:p>
      <w:pPr>
        <w:pStyle w:val="ListBullet"/>
        <w:spacing w:after="60"/>
      </w:pPr>
      <w:r>
        <w:rPr>
          <w:b/>
          <w:sz w:val="21"/>
        </w:rPr>
        <w:t>Contact Specialist</w:t>
      </w:r>
      <w:r>
        <w:rPr>
          <w:b w:val="0"/>
          <w:sz w:val="21"/>
        </w:rPr>
        <w:t xml:space="preserve"> is the label currently shown on a store's detail page for the person holding that relationship, which is you. It means the same thing as Account Manager; the panel is inconsistent about the wording and will be tidied up.</w:t>
      </w:r>
    </w:p>
    <w:p>
      <w:pPr>
        <w:spacing w:after="120"/>
      </w:pPr>
      <w:r>
        <w:rPr>
          <w:b/>
          <w:sz w:val="21"/>
        </w:rPr>
        <w:t xml:space="preserve">One word to avoid: </w:t>
      </w:r>
      <w:r>
        <w:rPr>
          <w:b w:val="0"/>
          <w:sz w:val="21"/>
        </w:rPr>
        <w:t>"CRM". It is the category of software used to track customer relationships, not a job title. You are the account manager; a CRM is a tool.</w:t>
      </w:r>
    </w:p>
    <w:p>
      <w:pPr>
        <w:spacing w:after="60"/>
      </w:pPr>
      <w:r>
        <w:rPr>
          <w:b w:val="0"/>
          <w:i w:val="0"/>
          <w:sz w:val="21"/>
        </w:rPr>
        <w:t>Your job is three things, in order of importance:</w:t>
      </w:r>
    </w:p>
    <w:p>
      <w:pPr>
        <w:pStyle w:val="ListBullet"/>
        <w:spacing w:after="60"/>
      </w:pPr>
      <w:r>
        <w:rPr>
          <w:b/>
          <w:sz w:val="21"/>
        </w:rPr>
        <w:t xml:space="preserve">Win the store. </w:t>
      </w:r>
      <w:r>
        <w:rPr>
          <w:b w:val="0"/>
          <w:sz w:val="21"/>
        </w:rPr>
        <w:t>Demo it, install it, get them live and confident.</w:t>
      </w:r>
    </w:p>
    <w:p>
      <w:pPr>
        <w:pStyle w:val="ListBullet"/>
        <w:spacing w:after="60"/>
      </w:pPr>
      <w:r>
        <w:rPr>
          <w:b/>
          <w:sz w:val="21"/>
        </w:rPr>
        <w:t xml:space="preserve">Keep the store. </w:t>
      </w:r>
      <w:r>
        <w:rPr>
          <w:b w:val="0"/>
          <w:sz w:val="21"/>
        </w:rPr>
        <w:t>Be the person they call. A store that renews is worth more than a store you sold once.</w:t>
      </w:r>
    </w:p>
    <w:p>
      <w:pPr>
        <w:pStyle w:val="ListBullet"/>
        <w:spacing w:after="60"/>
      </w:pPr>
      <w:r>
        <w:rPr>
          <w:b/>
          <w:sz w:val="21"/>
        </w:rPr>
        <w:t xml:space="preserve">Grow the store. </w:t>
      </w:r>
      <w:r>
        <w:rPr>
          <w:b w:val="0"/>
          <w:sz w:val="21"/>
        </w:rPr>
        <w:t>More branches, higher plan, more staff trained. Each one is billable.</w:t>
      </w:r>
    </w:p>
    <w:p>
      <w:pPr>
        <w:pStyle w:val="Heading1"/>
      </w:pPr>
      <w:r>
        <w:t>2. Your admin panel access</w:t>
      </w:r>
    </w:p>
    <w:p>
      <w:pPr>
        <w:spacing w:after="160"/>
      </w:pPr>
      <w:r>
        <w:rPr>
          <w:b w:val="0"/>
          <w:i w:val="0"/>
          <w:sz w:val="21"/>
        </w:rPr>
        <w:t>Each partner has their own named login. Never share an account, because every action in the panel is logged against the person who performed it, so a shared login makes it impossible to tell who did what.</w:t>
      </w:r>
    </w:p>
    <w:p>
      <w:pPr>
        <w:pStyle w:val="Heading2"/>
      </w:pPr>
      <w:r>
        <w:t>Partner logins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48"/>
            <w:shd w:fill="0B5D4A"/>
          </w:tcPr>
          <w:p>
            <w:r/>
            <w:r>
              <w:rPr>
                <w:b/>
                <w:color w:val="FFFFFF"/>
                <w:sz w:val="19"/>
              </w:rPr>
              <w:t>Partner</w:t>
            </w:r>
          </w:p>
        </w:tc>
        <w:tc>
          <w:tcPr>
            <w:tcW w:type="dxa" w:w="3024"/>
            <w:shd w:fill="0B5D4A"/>
          </w:tcPr>
          <w:p>
            <w:r/>
            <w:r>
              <w:rPr>
                <w:b/>
                <w:color w:val="FFFFFF"/>
                <w:sz w:val="19"/>
              </w:rPr>
              <w:t>Email (username)</w:t>
            </w:r>
          </w:p>
        </w:tc>
        <w:tc>
          <w:tcPr>
            <w:tcW w:type="dxa" w:w="2016"/>
            <w:shd w:fill="0B5D4A"/>
          </w:tcPr>
          <w:p>
            <w:r/>
            <w:r>
              <w:rPr>
                <w:b/>
                <w:color w:val="FFFFFF"/>
                <w:sz w:val="19"/>
              </w:rPr>
              <w:t>Role</w:t>
            </w:r>
          </w:p>
        </w:tc>
        <w:tc>
          <w:tcPr>
            <w:tcW w:type="dxa" w:w="2016"/>
            <w:shd w:fill="0B5D4A"/>
          </w:tcPr>
          <w:p>
            <w:r/>
            <w:r>
              <w:rPr>
                <w:b/>
                <w:color w:val="FFFFFF"/>
                <w:sz w:val="19"/>
              </w:rPr>
              <w:t>Password</w:t>
            </w:r>
          </w:p>
        </w:tc>
      </w:tr>
      <w:tr>
        <w:tc>
          <w:tcPr>
            <w:tcW w:type="dxa" w:w="2448"/>
          </w:tcPr>
          <w:p>
            <w:r/>
            <w:r>
              <w:rPr>
                <w:b/>
                <w:sz w:val="19"/>
              </w:rPr>
              <w:t>Michael N. Odumodu</w:t>
            </w:r>
          </w:p>
        </w:tc>
        <w:tc>
          <w:tcPr>
            <w:tcW w:type="dxa" w:w="3024"/>
          </w:tcPr>
          <w:p>
            <w:r/>
            <w:r>
              <w:rPr>
                <w:sz w:val="19"/>
              </w:rPr>
              <w:t>mike@dumostech.com</w:t>
            </w:r>
          </w:p>
        </w:tc>
        <w:tc>
          <w:tcPr>
            <w:tcW w:type="dxa" w:w="2016"/>
          </w:tcPr>
          <w:p>
            <w:r/>
            <w:r>
              <w:rPr>
                <w:sz w:val="19"/>
              </w:rPr>
              <w:t>Platform Admin</w:t>
            </w:r>
          </w:p>
        </w:tc>
        <w:tc>
          <w:tcPr>
            <w:tcW w:type="dxa" w:w="2016"/>
          </w:tcPr>
          <w:p>
            <w:r/>
            <w:r>
              <w:rPr>
                <w:sz w:val="19"/>
              </w:rPr>
              <w:t>sent separately</w:t>
            </w:r>
          </w:p>
        </w:tc>
      </w:tr>
      <w:tr>
        <w:tc>
          <w:tcPr>
            <w:tcW w:type="dxa" w:w="2448"/>
          </w:tcPr>
          <w:p>
            <w:r/>
            <w:r>
              <w:rPr>
                <w:b/>
                <w:sz w:val="19"/>
              </w:rPr>
              <w:t>Josemaria O. Odumodu</w:t>
            </w:r>
          </w:p>
        </w:tc>
        <w:tc>
          <w:tcPr>
            <w:tcW w:type="dxa" w:w="3024"/>
          </w:tcPr>
          <w:p>
            <w:r/>
            <w:r>
              <w:rPr>
                <w:sz w:val="19"/>
              </w:rPr>
              <w:t>jose@dumostech.com</w:t>
            </w:r>
          </w:p>
        </w:tc>
        <w:tc>
          <w:tcPr>
            <w:tcW w:type="dxa" w:w="2016"/>
          </w:tcPr>
          <w:p>
            <w:r/>
            <w:r>
              <w:rPr>
                <w:sz w:val="19"/>
              </w:rPr>
              <w:t>Platform Admin</w:t>
            </w:r>
          </w:p>
        </w:tc>
        <w:tc>
          <w:tcPr>
            <w:tcW w:type="dxa" w:w="2016"/>
          </w:tcPr>
          <w:p>
            <w:r/>
            <w:r>
              <w:rPr>
                <w:sz w:val="19"/>
              </w:rPr>
              <w:t>sent separately</w:t>
            </w:r>
          </w:p>
        </w:tc>
      </w:tr>
    </w:tbl>
    <w:p>
      <w:pPr>
        <w:spacing w:after="80"/>
      </w:pPr>
    </w:p>
    <w:tbl>
      <w:tblPr>
        <w:tblStyle w:val="TableGrid"/>
        <w:tblW w:type="auto" w:w="0"/>
        <w:tblLook w:firstColumn="1" w:firstRow="1" w:lastColumn="0" w:lastRow="0" w:noHBand="0" w:noVBand="1" w:val="04A0"/>
      </w:tblPr>
      <w:tblGrid>
        <w:gridCol w:w="9648"/>
      </w:tblGrid>
      <w:tr>
        <w:tc>
          <w:tcPr>
            <w:tcW w:type="dxa" w:w="9648"/>
            <w:shd w:fill="FDECEA"/>
          </w:tcPr>
          <w:p>
            <w:r/>
            <w:r>
              <w:rPr>
                <w:b/>
                <w:sz w:val="20"/>
              </w:rPr>
              <w:t xml:space="preserve">Passwords are never written in this document.  </w:t>
            </w:r>
            <w:r>
              <w:rPr>
                <w:sz w:val="20"/>
              </w:rPr>
              <w:t>Your account already exists. Your password is sent to you separately, through a private channel. Change it the first time you log in, and never send it over WhatsApp, email or anywhere it can be forwarded. If you think it has been seen by anyone else, say so immediately. It is reset in under a minute and nobody will be annoyed.</w:t>
            </w:r>
          </w:p>
        </w:tc>
      </w:tr>
    </w:tbl>
    <w:p>
      <w:pPr>
        <w:spacing w:after="80"/>
      </w:pPr>
    </w:p>
    <w:p>
      <w:pPr>
        <w:pStyle w:val="Heading2"/>
      </w:pPr>
      <w:r>
        <w:t>What your role can do</w:t>
      </w:r>
    </w:p>
    <w:p>
      <w:pPr>
        <w:spacing w:after="120"/>
      </w:pPr>
      <w:r>
        <w:rPr>
          <w:b w:val="0"/>
          <w:i w:val="0"/>
          <w:sz w:val="21"/>
        </w:rPr>
        <w:t>There are two partner roles, and they are deliberately different. Check which one you have before you promise a client anything.</w:t>
      </w:r>
    </w:p>
    <w:tbl>
      <w:tblPr>
        <w:tblStyle w:val="TableGrid"/>
        <w:tblW w:type="auto" w:w="0"/>
        <w:jc w:val="center"/>
        <w:tblLook w:firstColumn="1" w:firstRow="1" w:lastColumn="0" w:lastRow="0" w:noHBand="0" w:noVBand="1" w:val="04A0"/>
      </w:tblPr>
      <w:tblGrid>
        <w:gridCol w:w="3216"/>
        <w:gridCol w:w="3216"/>
        <w:gridCol w:w="3216"/>
      </w:tblGrid>
      <w:tr>
        <w:tc>
          <w:tcPr>
            <w:tcW w:type="dxa" w:w="4320"/>
            <w:shd w:fill="0B5D4A"/>
          </w:tcPr>
          <w:p>
            <w:r/>
            <w:r>
              <w:rPr>
                <w:b/>
                <w:color w:val="FFFFFF"/>
                <w:sz w:val="19"/>
              </w:rPr>
              <w:t>Action</w:t>
            </w:r>
          </w:p>
        </w:tc>
        <w:tc>
          <w:tcPr>
            <w:tcW w:type="dxa" w:w="2592"/>
            <w:shd w:fill="0B5D4A"/>
          </w:tcPr>
          <w:p>
            <w:r/>
            <w:r>
              <w:rPr>
                <w:b/>
                <w:color w:val="FFFFFF"/>
                <w:sz w:val="19"/>
              </w:rPr>
              <w:t>Platform Admin</w:t>
            </w:r>
          </w:p>
        </w:tc>
        <w:tc>
          <w:tcPr>
            <w:tcW w:type="dxa" w:w="2592"/>
            <w:shd w:fill="0B5D4A"/>
          </w:tcPr>
          <w:p>
            <w:r/>
            <w:r>
              <w:rPr>
                <w:b/>
                <w:color w:val="FFFFFF"/>
                <w:sz w:val="19"/>
              </w:rPr>
              <w:t>Agent</w:t>
            </w:r>
          </w:p>
        </w:tc>
      </w:tr>
      <w:tr>
        <w:tc>
          <w:tcPr>
            <w:tcW w:type="dxa" w:w="4320"/>
          </w:tcPr>
          <w:p>
            <w:r/>
            <w:r>
              <w:rPr>
                <w:b/>
                <w:sz w:val="19"/>
              </w:rPr>
              <w:t>Register a new store</w:t>
            </w:r>
          </w:p>
        </w:tc>
        <w:tc>
          <w:tcPr>
            <w:tcW w:type="dxa" w:w="2592"/>
          </w:tcPr>
          <w:p>
            <w:r/>
            <w:r>
              <w:rPr>
                <w:sz w:val="19"/>
              </w:rPr>
              <w:t>Yes</w:t>
            </w:r>
          </w:p>
        </w:tc>
        <w:tc>
          <w:tcPr>
            <w:tcW w:type="dxa" w:w="2592"/>
          </w:tcPr>
          <w:p>
            <w:r/>
            <w:r>
              <w:rPr>
                <w:sz w:val="19"/>
              </w:rPr>
              <w:t>Yes</w:t>
            </w:r>
          </w:p>
        </w:tc>
      </w:tr>
      <w:tr>
        <w:tc>
          <w:tcPr>
            <w:tcW w:type="dxa" w:w="4320"/>
          </w:tcPr>
          <w:p>
            <w:r/>
            <w:r>
              <w:rPr>
                <w:b/>
                <w:sz w:val="19"/>
              </w:rPr>
              <w:t>Own referral signup link</w:t>
            </w:r>
          </w:p>
        </w:tc>
        <w:tc>
          <w:tcPr>
            <w:tcW w:type="dxa" w:w="2592"/>
          </w:tcPr>
          <w:p>
            <w:r/>
            <w:r>
              <w:rPr>
                <w:sz w:val="19"/>
              </w:rPr>
              <w:t>Yes</w:t>
            </w:r>
          </w:p>
        </w:tc>
        <w:tc>
          <w:tcPr>
            <w:tcW w:type="dxa" w:w="2592"/>
          </w:tcPr>
          <w:p>
            <w:r/>
            <w:r>
              <w:rPr>
                <w:sz w:val="19"/>
              </w:rPr>
              <w:t>Yes</w:t>
            </w:r>
          </w:p>
        </w:tc>
      </w:tr>
      <w:tr>
        <w:tc>
          <w:tcPr>
            <w:tcW w:type="dxa" w:w="4320"/>
          </w:tcPr>
          <w:p>
            <w:r/>
            <w:r>
              <w:rPr>
                <w:b/>
                <w:sz w:val="19"/>
              </w:rPr>
              <w:t>See platform data and your stores</w:t>
            </w:r>
          </w:p>
        </w:tc>
        <w:tc>
          <w:tcPr>
            <w:tcW w:type="dxa" w:w="2592"/>
          </w:tcPr>
          <w:p>
            <w:r/>
            <w:r>
              <w:rPr>
                <w:sz w:val="19"/>
              </w:rPr>
              <w:t>Yes</w:t>
            </w:r>
          </w:p>
        </w:tc>
        <w:tc>
          <w:tcPr>
            <w:tcW w:type="dxa" w:w="2592"/>
          </w:tcPr>
          <w:p>
            <w:r/>
            <w:r>
              <w:rPr>
                <w:sz w:val="19"/>
              </w:rPr>
              <w:t>Yes</w:t>
            </w:r>
          </w:p>
        </w:tc>
      </w:tr>
      <w:tr>
        <w:tc>
          <w:tcPr>
            <w:tcW w:type="dxa" w:w="4320"/>
          </w:tcPr>
          <w:p>
            <w:r/>
            <w:r>
              <w:rPr>
                <w:b/>
                <w:sz w:val="19"/>
              </w:rPr>
              <w:t>Send notifications to users</w:t>
            </w:r>
          </w:p>
        </w:tc>
        <w:tc>
          <w:tcPr>
            <w:tcW w:type="dxa" w:w="2592"/>
          </w:tcPr>
          <w:p>
            <w:r/>
            <w:r>
              <w:rPr>
                <w:sz w:val="19"/>
              </w:rPr>
              <w:t>Yes</w:t>
            </w:r>
          </w:p>
        </w:tc>
        <w:tc>
          <w:tcPr>
            <w:tcW w:type="dxa" w:w="2592"/>
          </w:tcPr>
          <w:p>
            <w:r/>
            <w:r>
              <w:rPr>
                <w:sz w:val="19"/>
              </w:rPr>
              <w:t>Yes</w:t>
            </w:r>
          </w:p>
        </w:tc>
      </w:tr>
      <w:tr>
        <w:tc>
          <w:tcPr>
            <w:tcW w:type="dxa" w:w="4320"/>
          </w:tcPr>
          <w:p>
            <w:r/>
            <w:r>
              <w:rPr>
                <w:b/>
                <w:sz w:val="19"/>
              </w:rPr>
              <w:t>Grant a free trial / extra free month</w:t>
            </w:r>
          </w:p>
        </w:tc>
        <w:tc>
          <w:tcPr>
            <w:tcW w:type="dxa" w:w="2592"/>
          </w:tcPr>
          <w:p>
            <w:r/>
            <w:r>
              <w:rPr>
                <w:sz w:val="19"/>
              </w:rPr>
              <w:t>Yes</w:t>
            </w:r>
          </w:p>
        </w:tc>
        <w:tc>
          <w:tcPr>
            <w:tcW w:type="dxa" w:w="2592"/>
          </w:tcPr>
          <w:p>
            <w:r/>
            <w:r>
              <w:rPr>
                <w:sz w:val="19"/>
              </w:rPr>
              <w:t>No, ask the owner</w:t>
            </w:r>
          </w:p>
        </w:tc>
      </w:tr>
      <w:tr>
        <w:tc>
          <w:tcPr>
            <w:tcW w:type="dxa" w:w="4320"/>
          </w:tcPr>
          <w:p>
            <w:r/>
            <w:r>
              <w:rPr>
                <w:b/>
                <w:sz w:val="19"/>
              </w:rPr>
              <w:t>Reset a user's password</w:t>
            </w:r>
          </w:p>
        </w:tc>
        <w:tc>
          <w:tcPr>
            <w:tcW w:type="dxa" w:w="2592"/>
          </w:tcPr>
          <w:p>
            <w:r/>
            <w:r>
              <w:rPr>
                <w:sz w:val="19"/>
              </w:rPr>
              <w:t>Yes</w:t>
            </w:r>
          </w:p>
        </w:tc>
        <w:tc>
          <w:tcPr>
            <w:tcW w:type="dxa" w:w="2592"/>
          </w:tcPr>
          <w:p>
            <w:r/>
            <w:r>
              <w:rPr>
                <w:sz w:val="19"/>
              </w:rPr>
              <w:t>No</w:t>
            </w:r>
          </w:p>
        </w:tc>
      </w:tr>
      <w:tr>
        <w:tc>
          <w:tcPr>
            <w:tcW w:type="dxa" w:w="4320"/>
          </w:tcPr>
          <w:p>
            <w:r/>
            <w:r>
              <w:rPr>
                <w:b/>
                <w:sz w:val="19"/>
              </w:rPr>
              <w:t>Suspend or reactivate an account</w:t>
            </w:r>
          </w:p>
        </w:tc>
        <w:tc>
          <w:tcPr>
            <w:tcW w:type="dxa" w:w="2592"/>
          </w:tcPr>
          <w:p>
            <w:r/>
            <w:r>
              <w:rPr>
                <w:sz w:val="19"/>
              </w:rPr>
              <w:t>Yes</w:t>
            </w:r>
          </w:p>
        </w:tc>
        <w:tc>
          <w:tcPr>
            <w:tcW w:type="dxa" w:w="2592"/>
          </w:tcPr>
          <w:p>
            <w:r/>
            <w:r>
              <w:rPr>
                <w:sz w:val="19"/>
              </w:rPr>
              <w:t>No</w:t>
            </w:r>
          </w:p>
        </w:tc>
      </w:tr>
      <w:tr>
        <w:tc>
          <w:tcPr>
            <w:tcW w:type="dxa" w:w="4320"/>
          </w:tcPr>
          <w:p>
            <w:r/>
            <w:r>
              <w:rPr>
                <w:b/>
                <w:sz w:val="19"/>
              </w:rPr>
              <w:t>Log in as a store to troubleshoot</w:t>
            </w:r>
          </w:p>
        </w:tc>
        <w:tc>
          <w:tcPr>
            <w:tcW w:type="dxa" w:w="2592"/>
          </w:tcPr>
          <w:p>
            <w:r/>
            <w:r>
              <w:rPr>
                <w:sz w:val="19"/>
              </w:rPr>
              <w:t>Yes</w:t>
            </w:r>
          </w:p>
        </w:tc>
        <w:tc>
          <w:tcPr>
            <w:tcW w:type="dxa" w:w="2592"/>
          </w:tcPr>
          <w:p>
            <w:r/>
            <w:r>
              <w:rPr>
                <w:sz w:val="19"/>
              </w:rPr>
              <w:t>No</w:t>
            </w:r>
          </w:p>
        </w:tc>
      </w:tr>
    </w:tbl>
    <w:p>
      <w:pPr>
        <w:spacing w:after="80"/>
      </w:pPr>
    </w:p>
    <w:tbl>
      <w:tblPr>
        <w:tblStyle w:val="TableGrid"/>
        <w:tblW w:type="auto" w:w="0"/>
        <w:tblLook w:firstColumn="1" w:firstRow="1" w:lastColumn="0" w:lastRow="0" w:noHBand="0" w:noVBand="1" w:val="04A0"/>
      </w:tblPr>
      <w:tblGrid>
        <w:gridCol w:w="9648"/>
      </w:tblGrid>
      <w:tr>
        <w:tc>
          <w:tcPr>
            <w:tcW w:type="dxa" w:w="9648"/>
            <w:shd w:fill="FFF8E1"/>
          </w:tcPr>
          <w:p>
            <w:r/>
            <w:r>
              <w:rPr>
                <w:b/>
                <w:sz w:val="20"/>
              </w:rPr>
              <w:t xml:space="preserve">If you are an Agent and a client needs a free month,  </w:t>
            </w:r>
            <w:r>
              <w:rPr>
                <w:sz w:val="20"/>
              </w:rPr>
              <w:t>you cannot issue it yourself, because the panel will refuse. Send the request to the owner and it will be applied to the account. Agree the offer with the client only after it is approved, never before.</w:t>
            </w:r>
          </w:p>
        </w:tc>
      </w:tr>
    </w:tbl>
    <w:p>
      <w:pPr>
        <w:spacing w:after="80"/>
      </w:pPr>
    </w:p>
    <w:p>
      <w:pPr>
        <w:pStyle w:val="Heading1"/>
      </w:pPr>
      <w:r>
        <w:t>3. How a store becomes yours</w:t>
      </w:r>
    </w:p>
    <w:p>
      <w:pPr>
        <w:spacing w:after="120"/>
      </w:pPr>
      <w:r>
        <w:rPr>
          <w:b w:val="0"/>
          <w:i w:val="0"/>
          <w:sz w:val="21"/>
        </w:rPr>
        <w:t>A store is linked to you in one of two ways. Either route permanently records you as the account manager.</w:t>
      </w:r>
    </w:p>
    <w:p>
      <w:pPr>
        <w:pStyle w:val="ListBullet"/>
        <w:spacing w:after="60"/>
      </w:pPr>
      <w:r>
        <w:rPr>
          <w:b/>
          <w:sz w:val="21"/>
        </w:rPr>
        <w:t xml:space="preserve">You register them directly. </w:t>
      </w:r>
      <w:r>
        <w:rPr>
          <w:b w:val="0"/>
          <w:sz w:val="21"/>
        </w:rPr>
        <w:t>In the admin panel, use Stores → Register Store.</w:t>
      </w:r>
    </w:p>
    <w:p>
      <w:pPr>
        <w:pStyle w:val="ListBullet"/>
        <w:spacing w:after="60"/>
      </w:pPr>
      <w:r>
        <w:rPr>
          <w:b/>
          <w:sz w:val="21"/>
        </w:rPr>
        <w:t xml:space="preserve">They sign up through your referral link. </w:t>
      </w:r>
      <w:r>
        <w:rPr>
          <w:b w:val="0"/>
          <w:sz w:val="21"/>
        </w:rPr>
        <w:t>Your own link is in the panel. Anyone who registers through it is attributed to you automatically, even if you were not in the room.</w:t>
      </w:r>
    </w:p>
    <w:tbl>
      <w:tblPr>
        <w:tblStyle w:val="TableGrid"/>
        <w:tblW w:type="auto" w:w="0"/>
        <w:tblLook w:firstColumn="1" w:firstRow="1" w:lastColumn="0" w:lastRow="0" w:noHBand="0" w:noVBand="1" w:val="04A0"/>
      </w:tblPr>
      <w:tblGrid>
        <w:gridCol w:w="9648"/>
      </w:tblGrid>
      <w:tr>
        <w:tc>
          <w:tcPr>
            <w:tcW w:type="dxa" w:w="9648"/>
            <w:shd w:fill="FFF8E1"/>
          </w:tcPr>
          <w:p>
            <w:r/>
            <w:r>
              <w:rPr>
                <w:b/>
                <w:sz w:val="20"/>
              </w:rPr>
              <w:t xml:space="preserve">Use your referral link for every self-serve signup.  </w:t>
            </w:r>
            <w:r>
              <w:rPr>
                <w:sz w:val="20"/>
              </w:rPr>
              <w:t>If a pharmacy registers on their own without it, the system has no way to know they were yours, and the assignment cannot be reliably reconstructed later. The link costs nothing to send and is the difference between a client being yours and being nobody's.</w:t>
            </w:r>
          </w:p>
        </w:tc>
      </w:tr>
    </w:tbl>
    <w:p>
      <w:pPr>
        <w:spacing w:after="80"/>
      </w:pPr>
    </w:p>
    <w:p>
      <w:pPr>
        <w:pStyle w:val="Heading1"/>
      </w:pPr>
      <w:r>
        <w:t>4. The money: what is the business's, what is yours</w:t>
      </w:r>
    </w:p>
    <w:p>
      <w:pPr>
        <w:spacing w:after="160"/>
      </w:pPr>
      <w:r>
        <w:rPr>
          <w:b w:val="0"/>
          <w:i w:val="0"/>
          <w:sz w:val="21"/>
        </w:rPr>
        <w:t>This is the part worth reading twice, because the split is simple and absolute.</w:t>
      </w:r>
    </w:p>
    <w:tbl>
      <w:tblPr>
        <w:tblStyle w:val="TableGrid"/>
        <w:tblW w:type="auto" w:w="0"/>
        <w:jc w:val="center"/>
        <w:tblLook w:firstColumn="1" w:firstRow="1" w:lastColumn="0" w:lastRow="0" w:noHBand="0" w:noVBand="1" w:val="04A0"/>
      </w:tblPr>
      <w:tblGrid>
        <w:gridCol w:w="4824"/>
        <w:gridCol w:w="4824"/>
      </w:tblGrid>
      <w:tr>
        <w:tc>
          <w:tcPr>
            <w:tcW w:type="dxa" w:w="6048"/>
            <w:shd w:fill="0B5D4A"/>
          </w:tcPr>
          <w:p>
            <w:r/>
            <w:r>
              <w:rPr>
                <w:b/>
                <w:color w:val="FFFFFF"/>
                <w:sz w:val="19"/>
              </w:rPr>
              <w:t>Revenue</w:t>
            </w:r>
          </w:p>
        </w:tc>
        <w:tc>
          <w:tcPr>
            <w:tcW w:type="dxa" w:w="3456"/>
            <w:shd w:fill="0B5D4A"/>
          </w:tcPr>
          <w:p>
            <w:r/>
            <w:r>
              <w:rPr>
                <w:b/>
                <w:color w:val="FFFFFF"/>
                <w:sz w:val="19"/>
              </w:rPr>
              <w:t>Who it belongs to</w:t>
            </w:r>
          </w:p>
        </w:tc>
      </w:tr>
      <w:tr>
        <w:tc>
          <w:tcPr>
            <w:tcW w:type="dxa" w:w="6048"/>
          </w:tcPr>
          <w:p>
            <w:r/>
            <w:r>
              <w:rPr>
                <w:b/>
                <w:sz w:val="19"/>
              </w:rPr>
              <w:t>Subscription fees (monthly or yearly plan)</w:t>
            </w:r>
          </w:p>
        </w:tc>
        <w:tc>
          <w:tcPr>
            <w:tcW w:type="dxa" w:w="3456"/>
          </w:tcPr>
          <w:p>
            <w:r/>
            <w:r>
              <w:rPr>
                <w:sz w:val="19"/>
              </w:rPr>
              <w:t>The business account, 100%</w:t>
            </w:r>
          </w:p>
        </w:tc>
      </w:tr>
      <w:tr>
        <w:tc>
          <w:tcPr>
            <w:tcW w:type="dxa" w:w="6048"/>
          </w:tcPr>
          <w:p>
            <w:r/>
            <w:r>
              <w:rPr>
                <w:b/>
                <w:sz w:val="19"/>
              </w:rPr>
              <w:t>Installation and setup</w:t>
            </w:r>
          </w:p>
        </w:tc>
        <w:tc>
          <w:tcPr>
            <w:tcW w:type="dxa" w:w="3456"/>
          </w:tcPr>
          <w:p>
            <w:r/>
            <w:r>
              <w:rPr>
                <w:sz w:val="19"/>
              </w:rPr>
              <w:t>You, 100%</w:t>
            </w:r>
          </w:p>
        </w:tc>
      </w:tr>
      <w:tr>
        <w:tc>
          <w:tcPr>
            <w:tcW w:type="dxa" w:w="6048"/>
          </w:tcPr>
          <w:p>
            <w:r/>
            <w:r>
              <w:rPr>
                <w:b/>
                <w:sz w:val="19"/>
              </w:rPr>
              <w:t>Data migration (existing products, customers, suppliers)</w:t>
            </w:r>
          </w:p>
        </w:tc>
        <w:tc>
          <w:tcPr>
            <w:tcW w:type="dxa" w:w="3456"/>
          </w:tcPr>
          <w:p>
            <w:r/>
            <w:r>
              <w:rPr>
                <w:sz w:val="19"/>
              </w:rPr>
              <w:t>You, 100%</w:t>
            </w:r>
          </w:p>
        </w:tc>
      </w:tr>
      <w:tr>
        <w:tc>
          <w:tcPr>
            <w:tcW w:type="dxa" w:w="6048"/>
          </w:tcPr>
          <w:p>
            <w:r/>
            <w:r>
              <w:rPr>
                <w:b/>
                <w:sz w:val="19"/>
              </w:rPr>
              <w:t>Data enrichment (expiry dates, batch numbers, cost prices)</w:t>
            </w:r>
          </w:p>
        </w:tc>
        <w:tc>
          <w:tcPr>
            <w:tcW w:type="dxa" w:w="3456"/>
          </w:tcPr>
          <w:p>
            <w:r/>
            <w:r>
              <w:rPr>
                <w:sz w:val="19"/>
              </w:rPr>
              <w:t>You, 100%</w:t>
            </w:r>
          </w:p>
        </w:tc>
      </w:tr>
      <w:tr>
        <w:tc>
          <w:tcPr>
            <w:tcW w:type="dxa" w:w="6048"/>
          </w:tcPr>
          <w:p>
            <w:r/>
            <w:r>
              <w:rPr>
                <w:b/>
                <w:sz w:val="19"/>
              </w:rPr>
              <w:t>Training the owner and their staff</w:t>
            </w:r>
          </w:p>
        </w:tc>
        <w:tc>
          <w:tcPr>
            <w:tcW w:type="dxa" w:w="3456"/>
          </w:tcPr>
          <w:p>
            <w:r/>
            <w:r>
              <w:rPr>
                <w:sz w:val="19"/>
              </w:rPr>
              <w:t>You, 100%</w:t>
            </w:r>
          </w:p>
        </w:tc>
      </w:tr>
      <w:tr>
        <w:tc>
          <w:tcPr>
            <w:tcW w:type="dxa" w:w="6048"/>
          </w:tcPr>
          <w:p>
            <w:r/>
            <w:r>
              <w:rPr>
                <w:b/>
                <w:sz w:val="19"/>
              </w:rPr>
              <w:t>Equipment supply (POS hardware, printer, scanner)</w:t>
            </w:r>
          </w:p>
        </w:tc>
        <w:tc>
          <w:tcPr>
            <w:tcW w:type="dxa" w:w="3456"/>
          </w:tcPr>
          <w:p>
            <w:r/>
            <w:r>
              <w:rPr>
                <w:sz w:val="19"/>
              </w:rPr>
              <w:t>You, 100%</w:t>
            </w:r>
          </w:p>
        </w:tc>
      </w:tr>
      <w:tr>
        <w:tc>
          <w:tcPr>
            <w:tcW w:type="dxa" w:w="6048"/>
          </w:tcPr>
          <w:p>
            <w:r/>
            <w:r>
              <w:rPr>
                <w:b/>
                <w:sz w:val="19"/>
              </w:rPr>
              <w:t>Ongoing support retainer, if you offer one</w:t>
            </w:r>
          </w:p>
        </w:tc>
        <w:tc>
          <w:tcPr>
            <w:tcW w:type="dxa" w:w="3456"/>
          </w:tcPr>
          <w:p>
            <w:r/>
            <w:r>
              <w:rPr>
                <w:sz w:val="19"/>
              </w:rPr>
              <w:t>You, 100%</w:t>
            </w:r>
          </w:p>
        </w:tc>
      </w:tr>
    </w:tbl>
    <w:p>
      <w:pPr>
        <w:spacing w:after="80"/>
      </w:pPr>
    </w:p>
    <w:p>
      <w:pPr>
        <w:spacing w:after="120"/>
      </w:pPr>
      <w:r>
        <w:rPr>
          <w:b/>
          <w:sz w:val="21"/>
        </w:rPr>
        <w:t xml:space="preserve">In short: </w:t>
      </w:r>
      <w:r>
        <w:rPr>
          <w:b w:val="0"/>
          <w:sz w:val="21"/>
        </w:rPr>
        <w:t>the subscription is the product and belongs to the business. Everything you do with your own hands and hours is a service, and the money for it is entirely yours. The business takes no cut of your service fees.</w:t>
      </w:r>
    </w:p>
    <w:p>
      <w:pPr>
        <w:pStyle w:val="Heading2"/>
      </w:pPr>
      <w:r>
        <w:t>Where the client pays their subscription</w:t>
      </w:r>
    </w:p>
    <w:p>
      <w:pPr>
        <w:spacing w:after="120"/>
      </w:pPr>
      <w:r>
        <w:rPr>
          <w:b w:val="0"/>
          <w:i w:val="0"/>
          <w:sz w:val="21"/>
        </w:rPr>
        <w:t>Direct every subscription payment to the business account. Give the client these details, or let them pay in-app where that is available.</w:t>
      </w:r>
    </w:p>
    <w:tbl>
      <w:tblPr>
        <w:tblStyle w:val="TableGrid"/>
        <w:tblW w:type="auto" w:w="0"/>
        <w:jc w:val="center"/>
        <w:tblLook w:firstColumn="1" w:firstRow="1" w:lastColumn="0" w:lastRow="0" w:noHBand="0" w:noVBand="1" w:val="04A0"/>
      </w:tblPr>
      <w:tblGrid>
        <w:gridCol w:w="4824"/>
        <w:gridCol w:w="4824"/>
      </w:tblGrid>
      <w:tr>
        <w:tc>
          <w:tcPr>
            <w:tcW w:type="dxa" w:w="2736"/>
            <w:shd w:fill="0B5D4A"/>
          </w:tcPr>
          <w:p>
            <w:r/>
            <w:r>
              <w:rPr>
                <w:b/>
                <w:color w:val="FFFFFF"/>
                <w:sz w:val="19"/>
              </w:rPr>
              <w:t>Field</w:t>
            </w:r>
          </w:p>
        </w:tc>
        <w:tc>
          <w:tcPr>
            <w:tcW w:type="dxa" w:w="6768"/>
            <w:shd w:fill="0B5D4A"/>
          </w:tcPr>
          <w:p>
            <w:r/>
            <w:r>
              <w:rPr>
                <w:b/>
                <w:color w:val="FFFFFF"/>
                <w:sz w:val="19"/>
              </w:rPr>
              <w:t>Detail</w:t>
            </w:r>
          </w:p>
        </w:tc>
      </w:tr>
      <w:tr>
        <w:tc>
          <w:tcPr>
            <w:tcW w:type="dxa" w:w="2736"/>
          </w:tcPr>
          <w:p>
            <w:r/>
            <w:r>
              <w:rPr>
                <w:b/>
                <w:sz w:val="19"/>
              </w:rPr>
              <w:t>Bank</w:t>
            </w:r>
          </w:p>
        </w:tc>
        <w:tc>
          <w:tcPr>
            <w:tcW w:type="dxa" w:w="6768"/>
          </w:tcPr>
          <w:p>
            <w:r/>
            <w:r>
              <w:rPr>
                <w:sz w:val="19"/>
              </w:rPr>
              <w:t>Moniepoint</w:t>
            </w:r>
          </w:p>
        </w:tc>
      </w:tr>
      <w:tr>
        <w:tc>
          <w:tcPr>
            <w:tcW w:type="dxa" w:w="2736"/>
          </w:tcPr>
          <w:p>
            <w:r/>
            <w:r>
              <w:rPr>
                <w:b/>
                <w:sz w:val="19"/>
              </w:rPr>
              <w:t>Account number</w:t>
            </w:r>
          </w:p>
        </w:tc>
        <w:tc>
          <w:tcPr>
            <w:tcW w:type="dxa" w:w="6768"/>
          </w:tcPr>
          <w:p>
            <w:r/>
            <w:r>
              <w:rPr>
                <w:sz w:val="19"/>
              </w:rPr>
              <w:t>6656081317</w:t>
            </w:r>
          </w:p>
        </w:tc>
      </w:tr>
      <w:tr>
        <w:tc>
          <w:tcPr>
            <w:tcW w:type="dxa" w:w="2736"/>
          </w:tcPr>
          <w:p>
            <w:r/>
            <w:r>
              <w:rPr>
                <w:b/>
                <w:sz w:val="19"/>
              </w:rPr>
              <w:t>Account name</w:t>
            </w:r>
          </w:p>
        </w:tc>
        <w:tc>
          <w:tcPr>
            <w:tcW w:type="dxa" w:w="6768"/>
          </w:tcPr>
          <w:p>
            <w:r/>
            <w:r>
              <w:rPr>
                <w:sz w:val="19"/>
              </w:rPr>
              <w:t>Dumos Technologies</w:t>
            </w:r>
          </w:p>
        </w:tc>
      </w:tr>
    </w:tbl>
    <w:p>
      <w:pPr>
        <w:spacing w:after="80"/>
      </w:pPr>
    </w:p>
    <w:tbl>
      <w:tblPr>
        <w:tblStyle w:val="TableGrid"/>
        <w:tblW w:type="auto" w:w="0"/>
        <w:tblLook w:firstColumn="1" w:firstRow="1" w:lastColumn="0" w:lastRow="0" w:noHBand="0" w:noVBand="1" w:val="04A0"/>
      </w:tblPr>
      <w:tblGrid>
        <w:gridCol w:w="9648"/>
      </w:tblGrid>
      <w:tr>
        <w:tc>
          <w:tcPr>
            <w:tcW w:type="dxa" w:w="9648"/>
            <w:shd w:fill="FDECEA"/>
          </w:tcPr>
          <w:p>
            <w:r/>
            <w:r>
              <w:rPr>
                <w:b/>
                <w:sz w:val="20"/>
              </w:rPr>
              <w:t xml:space="preserve">Never collect subscription money personally.  </w:t>
            </w:r>
            <w:r>
              <w:rPr>
                <w:sz w:val="20"/>
              </w:rPr>
              <w:t>Not in cash, not to your own account, not "I will forward it". The payment has to land in the business account for the plan to be activated correctly, and routing it through yourself breaks the records the client's own subscription depends on. Your service fee is billed separately and paid to you directly. keep the two conversations and the two payments completely apart.</w:t>
            </w:r>
          </w:p>
        </w:tc>
      </w:tr>
    </w:tbl>
    <w:p>
      <w:pPr>
        <w:spacing w:after="80"/>
      </w:pPr>
    </w:p>
    <w:p>
      <w:pPr>
        <w:pStyle w:val="Heading1"/>
      </w:pPr>
      <w:r>
        <w:t>5. Subscription plans (what the client pays the business)</w:t>
      </w:r>
    </w:p>
    <w:p>
      <w:pPr>
        <w:spacing w:after="120"/>
      </w:pPr>
      <w:r>
        <w:rPr>
          <w:b w:val="0"/>
          <w:i w:val="0"/>
          <w:sz w:val="21"/>
        </w:rPr>
        <w:t>Current plans. Quote these accurately, because the client will see them in the app.</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48"/>
            <w:shd w:fill="0B5D4A"/>
          </w:tcPr>
          <w:p>
            <w:r/>
            <w:r>
              <w:rPr>
                <w:b/>
                <w:color w:val="FFFFFF"/>
                <w:sz w:val="19"/>
              </w:rPr>
              <w:t>Plan</w:t>
            </w:r>
          </w:p>
        </w:tc>
        <w:tc>
          <w:tcPr>
            <w:tcW w:type="dxa" w:w="2304"/>
            <w:shd w:fill="0B5D4A"/>
          </w:tcPr>
          <w:p>
            <w:r/>
            <w:r>
              <w:rPr>
                <w:b/>
                <w:color w:val="FFFFFF"/>
                <w:sz w:val="19"/>
              </w:rPr>
              <w:t>Monthly</w:t>
            </w:r>
          </w:p>
        </w:tc>
        <w:tc>
          <w:tcPr>
            <w:tcW w:type="dxa" w:w="2304"/>
            <w:shd w:fill="0B5D4A"/>
          </w:tcPr>
          <w:p>
            <w:r/>
            <w:r>
              <w:rPr>
                <w:b/>
                <w:color w:val="FFFFFF"/>
                <w:sz w:val="19"/>
              </w:rPr>
              <w:t>Yearly</w:t>
            </w:r>
          </w:p>
        </w:tc>
        <w:tc>
          <w:tcPr>
            <w:tcW w:type="dxa" w:w="2448"/>
            <w:shd w:fill="0B5D4A"/>
          </w:tcPr>
          <w:p>
            <w:r/>
            <w:r>
              <w:rPr>
                <w:b/>
                <w:color w:val="FFFFFF"/>
                <w:sz w:val="19"/>
              </w:rPr>
              <w:t>Branches</w:t>
            </w:r>
          </w:p>
        </w:tc>
      </w:tr>
      <w:tr>
        <w:tc>
          <w:tcPr>
            <w:tcW w:type="dxa" w:w="2448"/>
          </w:tcPr>
          <w:p>
            <w:r/>
            <w:r>
              <w:rPr>
                <w:b/>
                <w:sz w:val="19"/>
              </w:rPr>
              <w:t>Free</w:t>
            </w:r>
          </w:p>
        </w:tc>
        <w:tc>
          <w:tcPr>
            <w:tcW w:type="dxa" w:w="2304"/>
          </w:tcPr>
          <w:p>
            <w:r/>
            <w:r>
              <w:rPr>
                <w:sz w:val="19"/>
              </w:rPr>
              <w:t>₦0</w:t>
            </w:r>
          </w:p>
        </w:tc>
        <w:tc>
          <w:tcPr>
            <w:tcW w:type="dxa" w:w="2304"/>
          </w:tcPr>
          <w:p>
            <w:r/>
            <w:r>
              <w:rPr>
                <w:sz w:val="19"/>
              </w:rPr>
              <w:t>₦0</w:t>
            </w:r>
          </w:p>
        </w:tc>
        <w:tc>
          <w:tcPr>
            <w:tcW w:type="dxa" w:w="2448"/>
          </w:tcPr>
          <w:p>
            <w:r/>
            <w:r>
              <w:rPr>
                <w:sz w:val="19"/>
              </w:rPr>
              <w:t>1</w:t>
            </w:r>
          </w:p>
        </w:tc>
      </w:tr>
      <w:tr>
        <w:tc>
          <w:tcPr>
            <w:tcW w:type="dxa" w:w="2448"/>
          </w:tcPr>
          <w:p>
            <w:r/>
            <w:r>
              <w:rPr>
                <w:b/>
                <w:sz w:val="19"/>
              </w:rPr>
              <w:t>Starter</w:t>
            </w:r>
          </w:p>
        </w:tc>
        <w:tc>
          <w:tcPr>
            <w:tcW w:type="dxa" w:w="2304"/>
          </w:tcPr>
          <w:p>
            <w:r/>
            <w:r>
              <w:rPr>
                <w:sz w:val="19"/>
              </w:rPr>
              <w:t>₦3,000</w:t>
            </w:r>
          </w:p>
        </w:tc>
        <w:tc>
          <w:tcPr>
            <w:tcW w:type="dxa" w:w="2304"/>
          </w:tcPr>
          <w:p>
            <w:r/>
            <w:r>
              <w:rPr>
                <w:sz w:val="19"/>
              </w:rPr>
              <w:t>₦30,000</w:t>
            </w:r>
          </w:p>
        </w:tc>
        <w:tc>
          <w:tcPr>
            <w:tcW w:type="dxa" w:w="2448"/>
          </w:tcPr>
          <w:p>
            <w:r/>
            <w:r>
              <w:rPr>
                <w:sz w:val="19"/>
              </w:rPr>
              <w:t>1</w:t>
            </w:r>
          </w:p>
        </w:tc>
      </w:tr>
      <w:tr>
        <w:tc>
          <w:tcPr>
            <w:tcW w:type="dxa" w:w="2448"/>
          </w:tcPr>
          <w:p>
            <w:r/>
            <w:r>
              <w:rPr>
                <w:b/>
                <w:sz w:val="19"/>
              </w:rPr>
              <w:t>Dumos Pro</w:t>
            </w:r>
          </w:p>
        </w:tc>
        <w:tc>
          <w:tcPr>
            <w:tcW w:type="dxa" w:w="2304"/>
          </w:tcPr>
          <w:p>
            <w:r/>
            <w:r>
              <w:rPr>
                <w:sz w:val="19"/>
              </w:rPr>
              <w:t>₦8,000</w:t>
            </w:r>
          </w:p>
        </w:tc>
        <w:tc>
          <w:tcPr>
            <w:tcW w:type="dxa" w:w="2304"/>
          </w:tcPr>
          <w:p>
            <w:r/>
            <w:r>
              <w:rPr>
                <w:sz w:val="19"/>
              </w:rPr>
              <w:t>₦80,000</w:t>
            </w:r>
          </w:p>
        </w:tc>
        <w:tc>
          <w:tcPr>
            <w:tcW w:type="dxa" w:w="2448"/>
          </w:tcPr>
          <w:p>
            <w:r/>
            <w:r>
              <w:rPr>
                <w:sz w:val="19"/>
              </w:rPr>
              <w:t>3</w:t>
            </w:r>
          </w:p>
        </w:tc>
      </w:tr>
      <w:tr>
        <w:tc>
          <w:tcPr>
            <w:tcW w:type="dxa" w:w="2448"/>
          </w:tcPr>
          <w:p>
            <w:r/>
            <w:r>
              <w:rPr>
                <w:b/>
                <w:sz w:val="19"/>
              </w:rPr>
              <w:t>Enterprise</w:t>
            </w:r>
          </w:p>
        </w:tc>
        <w:tc>
          <w:tcPr>
            <w:tcW w:type="dxa" w:w="2304"/>
          </w:tcPr>
          <w:p>
            <w:r/>
            <w:r>
              <w:rPr>
                <w:sz w:val="19"/>
              </w:rPr>
              <w:t>₦15,000</w:t>
            </w:r>
          </w:p>
        </w:tc>
        <w:tc>
          <w:tcPr>
            <w:tcW w:type="dxa" w:w="2304"/>
          </w:tcPr>
          <w:p>
            <w:r/>
            <w:r>
              <w:rPr>
                <w:sz w:val="19"/>
              </w:rPr>
              <w:t>₦150,000</w:t>
            </w:r>
          </w:p>
        </w:tc>
        <w:tc>
          <w:tcPr>
            <w:tcW w:type="dxa" w:w="2448"/>
          </w:tcPr>
          <w:p>
            <w:r/>
            <w:r>
              <w:rPr>
                <w:sz w:val="19"/>
              </w:rPr>
              <w:t>Unlimited</w:t>
            </w:r>
          </w:p>
        </w:tc>
      </w:tr>
    </w:tbl>
    <w:p>
      <w:pPr>
        <w:spacing w:after="80"/>
      </w:pPr>
    </w:p>
    <w:p>
      <w:pPr>
        <w:spacing w:after="80"/>
      </w:pPr>
      <w:r>
        <w:rPr>
          <w:b w:val="0"/>
          <w:i w:val="0"/>
          <w:sz w:val="21"/>
        </w:rPr>
        <w:t>Yearly is priced at ten months for twelve. For a pharmacy that is clearly staying, yearly is the easier sell and it removes eleven chances to churn.</w:t>
      </w:r>
    </w:p>
    <w:p>
      <w:pPr>
        <w:pStyle w:val="Heading1"/>
      </w:pPr>
      <w:r>
        <w:t>6. What you charge, and how much</w:t>
      </w:r>
    </w:p>
    <w:p>
      <w:pPr>
        <w:spacing w:after="160"/>
      </w:pPr>
      <w:r>
        <w:rPr>
          <w:b w:val="0"/>
          <w:i w:val="0"/>
          <w:sz w:val="21"/>
        </w:rPr>
        <w:t>Your service fee is yours to set. It should reflect the work in front of you. A single-branch pharmacy with 80 products is not the same job as a three-branch operation with 4,000 lines and no usable records.</w:t>
      </w:r>
    </w:p>
    <w:p>
      <w:pPr>
        <w:pStyle w:val="Heading2"/>
      </w:pPr>
      <w:r>
        <w:t>Suggested range</w:t>
      </w:r>
    </w:p>
    <w:tbl>
      <w:tblPr>
        <w:tblStyle w:val="TableGrid"/>
        <w:tblW w:type="auto" w:w="0"/>
        <w:jc w:val="center"/>
        <w:tblLook w:firstColumn="1" w:firstRow="1" w:lastColumn="0" w:lastRow="0" w:noHBand="0" w:noVBand="1" w:val="04A0"/>
      </w:tblPr>
      <w:tblGrid>
        <w:gridCol w:w="4824"/>
        <w:gridCol w:w="4824"/>
      </w:tblGrid>
      <w:tr>
        <w:tc>
          <w:tcPr>
            <w:tcW w:type="dxa" w:w="6336"/>
            <w:shd w:fill="0B5D4A"/>
          </w:tcPr>
          <w:p>
            <w:r/>
            <w:r>
              <w:rPr>
                <w:b/>
                <w:color w:val="FFFFFF"/>
                <w:sz w:val="19"/>
              </w:rPr>
              <w:t>Scope</w:t>
            </w:r>
          </w:p>
        </w:tc>
        <w:tc>
          <w:tcPr>
            <w:tcW w:type="dxa" w:w="3168"/>
            <w:shd w:fill="0B5D4A"/>
          </w:tcPr>
          <w:p>
            <w:r/>
            <w:r>
              <w:rPr>
                <w:b/>
                <w:color w:val="FFFFFF"/>
                <w:sz w:val="19"/>
              </w:rPr>
              <w:t>Suggested fee</w:t>
            </w:r>
          </w:p>
        </w:tc>
      </w:tr>
      <w:tr>
        <w:tc>
          <w:tcPr>
            <w:tcW w:type="dxa" w:w="6336"/>
          </w:tcPr>
          <w:p>
            <w:r/>
            <w:r>
              <w:rPr>
                <w:b/>
                <w:sz w:val="19"/>
              </w:rPr>
              <w:t>Light: install, basic setup, short training, small catalogue</w:t>
            </w:r>
          </w:p>
        </w:tc>
        <w:tc>
          <w:tcPr>
            <w:tcW w:type="dxa" w:w="3168"/>
          </w:tcPr>
          <w:p>
            <w:r/>
            <w:r>
              <w:rPr>
                <w:sz w:val="19"/>
              </w:rPr>
              <w:t>₦30,000 to ₦50,000</w:t>
            </w:r>
          </w:p>
        </w:tc>
      </w:tr>
      <w:tr>
        <w:tc>
          <w:tcPr>
            <w:tcW w:type="dxa" w:w="6336"/>
          </w:tcPr>
          <w:p>
            <w:r/>
            <w:r>
              <w:rPr>
                <w:b/>
                <w:sz w:val="19"/>
              </w:rPr>
              <w:t>Standard: full setup, data migration, staff training</w:t>
            </w:r>
          </w:p>
        </w:tc>
        <w:tc>
          <w:tcPr>
            <w:tcW w:type="dxa" w:w="3168"/>
          </w:tcPr>
          <w:p>
            <w:r/>
            <w:r>
              <w:rPr>
                <w:sz w:val="19"/>
              </w:rPr>
              <w:t>₦50,000 to ₦80,000</w:t>
            </w:r>
          </w:p>
        </w:tc>
      </w:tr>
      <w:tr>
        <w:tc>
          <w:tcPr>
            <w:tcW w:type="dxa" w:w="6336"/>
          </w:tcPr>
          <w:p>
            <w:r/>
            <w:r>
              <w:rPr>
                <w:b/>
                <w:sz w:val="19"/>
              </w:rPr>
              <w:t>Heavy: multi-branch, large catalogue, expiry and batch data entry</w:t>
            </w:r>
          </w:p>
        </w:tc>
        <w:tc>
          <w:tcPr>
            <w:tcW w:type="dxa" w:w="3168"/>
          </w:tcPr>
          <w:p>
            <w:r/>
            <w:r>
              <w:rPr>
                <w:sz w:val="19"/>
              </w:rPr>
              <w:t>₦80,000 to ₦100,000+</w:t>
            </w:r>
          </w:p>
        </w:tc>
      </w:tr>
    </w:tbl>
    <w:p>
      <w:pPr>
        <w:spacing w:after="80"/>
      </w:pPr>
    </w:p>
    <w:p>
      <w:pPr>
        <w:spacing w:after="160"/>
      </w:pPr>
      <w:r>
        <w:rPr>
          <w:b w:val="0"/>
          <w:i w:val="0"/>
          <w:sz w:val="21"/>
        </w:rPr>
        <w:t>For context on what the market bears: operators in this space have been known to charge ₦200,000 and above, and one quotes ₦350,000 for everything including the top subscription plan. Against our Enterprise year at ₦150,000, that implies roughly ₦200,000 of service. Price with confidence, but price the work, not the client's desperation.</w:t>
      </w:r>
    </w:p>
    <w:p>
      <w:pPr>
        <w:pStyle w:val="Heading2"/>
      </w:pPr>
      <w:r>
        <w:t>How to present it</w:t>
      </w:r>
    </w:p>
    <w:p>
      <w:pPr>
        <w:pStyle w:val="ListBullet"/>
        <w:spacing w:after="60"/>
      </w:pPr>
      <w:r>
        <w:rPr>
          <w:b/>
          <w:sz w:val="21"/>
        </w:rPr>
        <w:t xml:space="preserve">Quote one number for the service, separately from the subscription. </w:t>
      </w:r>
      <w:r>
        <w:rPr>
          <w:b w:val="0"/>
          <w:sz w:val="21"/>
        </w:rPr>
        <w:t>Clients accept "₦60,000 to get you fully set up, then ₦8,000 a month for the software" far more readily than one blended figure they cannot evaluate.</w:t>
      </w:r>
    </w:p>
    <w:p>
      <w:pPr>
        <w:pStyle w:val="ListBullet"/>
        <w:spacing w:after="60"/>
      </w:pPr>
      <w:r>
        <w:rPr>
          <w:b/>
          <w:sz w:val="21"/>
        </w:rPr>
        <w:t xml:space="preserve">Itemise if they hesitate. </w:t>
      </w:r>
      <w:r>
        <w:rPr>
          <w:b w:val="0"/>
          <w:sz w:val="21"/>
        </w:rPr>
        <w:t>Migration, training and expiry-date entry are real labour. Showing the parts justifies the whole.</w:t>
      </w:r>
    </w:p>
    <w:p>
      <w:pPr>
        <w:pStyle w:val="ListBullet"/>
        <w:spacing w:after="60"/>
      </w:pPr>
      <w:r>
        <w:rPr>
          <w:b/>
          <w:sz w:val="21"/>
        </w:rPr>
        <w:t xml:space="preserve">Charge for equipment at your own margin. </w:t>
      </w:r>
      <w:r>
        <w:rPr>
          <w:b w:val="0"/>
          <w:sz w:val="21"/>
        </w:rPr>
        <w:t>If you source a printer or scanner for them, that is your supply business and your markup.</w:t>
      </w:r>
    </w:p>
    <w:p>
      <w:pPr>
        <w:pStyle w:val="ListBullet"/>
        <w:spacing w:after="60"/>
      </w:pPr>
      <w:r>
        <w:rPr>
          <w:b/>
          <w:sz w:val="21"/>
        </w:rPr>
        <w:t xml:space="preserve">Do not discount the subscription to win a service fee. </w:t>
      </w:r>
      <w:r>
        <w:rPr>
          <w:b w:val="0"/>
          <w:sz w:val="21"/>
        </w:rPr>
        <w:t>The plan price is not yours to move. Your flexibility is in your own fee and in trials.</w:t>
      </w:r>
    </w:p>
    <w:p>
      <w:pPr>
        <w:pStyle w:val="Heading1"/>
      </w:pPr>
      <w:r>
        <w:t>7. Trials and free periods</w:t>
      </w:r>
    </w:p>
    <w:p>
      <w:pPr>
        <w:pStyle w:val="ListBullet"/>
        <w:spacing w:after="60"/>
      </w:pPr>
      <w:r>
        <w:rPr>
          <w:b/>
          <w:sz w:val="21"/>
        </w:rPr>
        <w:t xml:space="preserve">Every new registration gets 14 days free automatically. </w:t>
      </w:r>
      <w:r>
        <w:rPr>
          <w:b w:val="0"/>
          <w:sz w:val="21"/>
        </w:rPr>
        <w:t>It is built into the app. You do not need to ask for it and should not present it as a favour.</w:t>
      </w:r>
    </w:p>
    <w:p>
      <w:pPr>
        <w:pStyle w:val="ListBullet"/>
        <w:spacing w:after="60"/>
      </w:pPr>
      <w:r>
        <w:rPr>
          <w:b/>
          <w:sz w:val="21"/>
        </w:rPr>
        <w:t xml:space="preserve">You may offer an extra free month, or longer, when the situation justifies it. </w:t>
      </w:r>
      <w:r>
        <w:rPr>
          <w:b w:val="0"/>
          <w:sz w:val="21"/>
        </w:rPr>
        <w:t>A hesitant client, a slow migration, a pharmacy that needs to see a full month-end before committing.</w:t>
      </w:r>
    </w:p>
    <w:p>
      <w:pPr>
        <w:pStyle w:val="ListBullet"/>
        <w:spacing w:after="60"/>
      </w:pPr>
      <w:r>
        <w:rPr>
          <w:b/>
          <w:sz w:val="21"/>
        </w:rPr>
        <w:t xml:space="preserve">Platform Admins can apply this in the panel. Agents must request it. </w:t>
      </w:r>
      <w:r>
        <w:rPr>
          <w:b w:val="0"/>
          <w:sz w:val="21"/>
        </w:rPr>
        <w:t>See the role table in section 2.</w:t>
      </w:r>
    </w:p>
    <w:p>
      <w:pPr>
        <w:spacing w:after="80"/>
      </w:pPr>
      <w:r>
        <w:rPr>
          <w:b w:val="0"/>
          <w:i w:val="0"/>
          <w:sz w:val="21"/>
        </w:rPr>
        <w:t>Use free time deliberately. It is most effective when the client is nearly convinced and needs one more month of their own data to be sure. It is least effective when used to avoid a pricing conversation.</w:t>
      </w:r>
    </w:p>
    <w:p>
      <w:pPr>
        <w:pStyle w:val="Heading1"/>
      </w:pPr>
      <w:r>
        <w:t>8. Looking after your stores</w:t>
      </w:r>
    </w:p>
    <w:p>
      <w:pPr>
        <w:spacing w:after="120"/>
      </w:pPr>
      <w:r>
        <w:rPr>
          <w:b w:val="0"/>
          <w:i w:val="0"/>
          <w:sz w:val="21"/>
        </w:rPr>
        <w:t>The subscription renews or it does not, and that mostly comes down to whether the pharmacy feels supported.</w:t>
      </w:r>
    </w:p>
    <w:p>
      <w:pPr>
        <w:pStyle w:val="ListBullet"/>
        <w:spacing w:after="60"/>
      </w:pPr>
      <w:r>
        <w:rPr>
          <w:b/>
          <w:sz w:val="21"/>
        </w:rPr>
        <w:t xml:space="preserve">Check in during the trial, not at the end of it. </w:t>
      </w:r>
      <w:r>
        <w:rPr>
          <w:b w:val="0"/>
          <w:sz w:val="21"/>
        </w:rPr>
        <w:t>A store that has not entered stock by day four is a store that will not renew on day fifteen.</w:t>
      </w:r>
    </w:p>
    <w:p>
      <w:pPr>
        <w:pStyle w:val="ListBullet"/>
        <w:spacing w:after="60"/>
      </w:pPr>
      <w:r>
        <w:rPr>
          <w:b/>
          <w:sz w:val="21"/>
        </w:rPr>
        <w:t xml:space="preserve">Be reachable. </w:t>
      </w:r>
      <w:r>
        <w:rPr>
          <w:b w:val="0"/>
          <w:sz w:val="21"/>
        </w:rPr>
        <w:t>You are their first line. Answer, even to say you are looking into it.</w:t>
      </w:r>
    </w:p>
    <w:p>
      <w:pPr>
        <w:pStyle w:val="ListBullet"/>
        <w:spacing w:after="60"/>
      </w:pPr>
      <w:r>
        <w:rPr>
          <w:b/>
          <w:sz w:val="21"/>
        </w:rPr>
        <w:t xml:space="preserve">Watch for silence. </w:t>
      </w:r>
      <w:r>
        <w:rPr>
          <w:b w:val="0"/>
          <w:sz w:val="21"/>
        </w:rPr>
        <w:t>A store that stops syncing or stops selling has usually hit a problem and not told anyone.</w:t>
      </w:r>
    </w:p>
    <w:p>
      <w:pPr>
        <w:pStyle w:val="ListBullet"/>
        <w:spacing w:after="60"/>
      </w:pPr>
      <w:r>
        <w:rPr>
          <w:b/>
          <w:sz w:val="21"/>
        </w:rPr>
        <w:t xml:space="preserve">Escalate real faults quickly. </w:t>
      </w:r>
      <w:r>
        <w:rPr>
          <w:b w:val="0"/>
          <w:sz w:val="21"/>
        </w:rPr>
        <w:t>Anything that looks like data loss, wrong stock figures, or a device that will not sync goes to the owner straight away, with the store name and what you observed.</w:t>
      </w:r>
    </w:p>
    <w:p>
      <w:pPr>
        <w:pStyle w:val="Heading1"/>
      </w:pPr>
      <w:r>
        <w:t>9. Conduct</w:t>
      </w:r>
    </w:p>
    <w:p>
      <w:pPr>
        <w:pStyle w:val="ListBullet"/>
        <w:spacing w:after="60"/>
      </w:pPr>
      <w:r>
        <w:rPr>
          <w:b/>
          <w:sz w:val="21"/>
        </w:rPr>
        <w:t>Never share your login or let anyone work under your account.</w:t>
      </w:r>
    </w:p>
    <w:p>
      <w:pPr>
        <w:pStyle w:val="ListBullet"/>
        <w:spacing w:after="60"/>
      </w:pPr>
      <w:r>
        <w:rPr>
          <w:b/>
          <w:sz w:val="21"/>
        </w:rPr>
        <w:t xml:space="preserve">Only open a client's account when you have a reason to. </w:t>
      </w:r>
      <w:r>
        <w:rPr>
          <w:b w:val="0"/>
          <w:sz w:val="21"/>
        </w:rPr>
        <w:t>Their sales and customer records are their private business and every access is logged.</w:t>
      </w:r>
    </w:p>
    <w:p>
      <w:pPr>
        <w:pStyle w:val="ListBullet"/>
        <w:spacing w:after="60"/>
      </w:pPr>
      <w:r>
        <w:rPr>
          <w:b/>
          <w:sz w:val="21"/>
        </w:rPr>
        <w:t xml:space="preserve">Do not promise features that do not exist. </w:t>
      </w:r>
      <w:r>
        <w:rPr>
          <w:b w:val="0"/>
          <w:sz w:val="21"/>
        </w:rPr>
        <w:t>If you are unsure whether the app does something, ask before you say yes. A promise made to close a sale becomes a complaint in week two.</w:t>
      </w:r>
    </w:p>
    <w:p>
      <w:pPr>
        <w:pStyle w:val="ListBullet"/>
        <w:spacing w:after="60"/>
      </w:pPr>
      <w:r>
        <w:rPr>
          <w:b/>
          <w:sz w:val="21"/>
        </w:rPr>
        <w:t xml:space="preserve">Quote the real plan prices. </w:t>
      </w:r>
      <w:r>
        <w:rPr>
          <w:b w:val="0"/>
          <w:sz w:val="21"/>
        </w:rPr>
        <w:t>The client will see them in the app.</w:t>
      </w:r>
    </w:p>
    <w:p>
      <w:pPr>
        <w:pStyle w:val="ListBullet"/>
        <w:spacing w:after="60"/>
      </w:pPr>
      <w:r>
        <w:rPr>
          <w:b/>
          <w:sz w:val="21"/>
        </w:rPr>
        <w:t xml:space="preserve">Represent DumosRx honestly. </w:t>
      </w:r>
      <w:r>
        <w:rPr>
          <w:b w:val="0"/>
          <w:sz w:val="21"/>
        </w:rPr>
        <w:t>You are the business to this pharmacy. They will judge the product by how you behave.</w:t>
      </w:r>
    </w:p>
    <w:p>
      <w:pPr>
        <w:pStyle w:val="Heading1"/>
      </w:pPr>
      <w:r>
        <w:t>10. Quick reference</w:t>
      </w:r>
    </w:p>
    <w:tbl>
      <w:tblPr>
        <w:tblStyle w:val="TableGrid"/>
        <w:tblW w:type="auto" w:w="0"/>
        <w:jc w:val="center"/>
        <w:tblLook w:firstColumn="1" w:firstRow="1" w:lastColumn="0" w:lastRow="0" w:noHBand="0" w:noVBand="1" w:val="04A0"/>
      </w:tblPr>
      <w:tblGrid>
        <w:gridCol w:w="4824"/>
        <w:gridCol w:w="4824"/>
      </w:tblGrid>
      <w:tr>
        <w:tc>
          <w:tcPr>
            <w:tcW w:type="dxa" w:w="4464"/>
            <w:shd w:fill="0B5D4A"/>
          </w:tcPr>
          <w:p>
            <w:r/>
            <w:r>
              <w:rPr>
                <w:b/>
                <w:color w:val="FFFFFF"/>
                <w:sz w:val="19"/>
              </w:rPr>
              <w:t>Question</w:t>
            </w:r>
          </w:p>
        </w:tc>
        <w:tc>
          <w:tcPr>
            <w:tcW w:type="dxa" w:w="5040"/>
            <w:shd w:fill="0B5D4A"/>
          </w:tcPr>
          <w:p>
            <w:r/>
            <w:r>
              <w:rPr>
                <w:b/>
                <w:color w:val="FFFFFF"/>
                <w:sz w:val="19"/>
              </w:rPr>
              <w:t>Answer</w:t>
            </w:r>
          </w:p>
        </w:tc>
      </w:tr>
      <w:tr>
        <w:tc>
          <w:tcPr>
            <w:tcW w:type="dxa" w:w="4464"/>
          </w:tcPr>
          <w:p>
            <w:r/>
            <w:r>
              <w:rPr>
                <w:b/>
                <w:sz w:val="19"/>
              </w:rPr>
              <w:t>Who do subscription fees go to?</w:t>
            </w:r>
          </w:p>
        </w:tc>
        <w:tc>
          <w:tcPr>
            <w:tcW w:type="dxa" w:w="5040"/>
          </w:tcPr>
          <w:p>
            <w:r/>
            <w:r>
              <w:rPr>
                <w:sz w:val="19"/>
              </w:rPr>
              <w:t>Business account, Moniepoint 6656081317, 100%</w:t>
            </w:r>
          </w:p>
        </w:tc>
      </w:tr>
      <w:tr>
        <w:tc>
          <w:tcPr>
            <w:tcW w:type="dxa" w:w="4464"/>
          </w:tcPr>
          <w:p>
            <w:r/>
            <w:r>
              <w:rPr>
                <w:b/>
                <w:sz w:val="19"/>
              </w:rPr>
              <w:t>Who keeps installation and training fees?</w:t>
            </w:r>
          </w:p>
        </w:tc>
        <w:tc>
          <w:tcPr>
            <w:tcW w:type="dxa" w:w="5040"/>
          </w:tcPr>
          <w:p>
            <w:r/>
            <w:r>
              <w:rPr>
                <w:sz w:val="19"/>
              </w:rPr>
              <w:t>You, 100%</w:t>
            </w:r>
          </w:p>
        </w:tc>
      </w:tr>
      <w:tr>
        <w:tc>
          <w:tcPr>
            <w:tcW w:type="dxa" w:w="4464"/>
          </w:tcPr>
          <w:p>
            <w:r/>
            <w:r>
              <w:rPr>
                <w:b/>
                <w:sz w:val="19"/>
              </w:rPr>
              <w:t>What is the free trial on signup?</w:t>
            </w:r>
          </w:p>
        </w:tc>
        <w:tc>
          <w:tcPr>
            <w:tcW w:type="dxa" w:w="5040"/>
          </w:tcPr>
          <w:p>
            <w:r/>
            <w:r>
              <w:rPr>
                <w:sz w:val="19"/>
              </w:rPr>
              <w:t>14 days, automatic</w:t>
            </w:r>
          </w:p>
        </w:tc>
      </w:tr>
      <w:tr>
        <w:tc>
          <w:tcPr>
            <w:tcW w:type="dxa" w:w="4464"/>
          </w:tcPr>
          <w:p>
            <w:r/>
            <w:r>
              <w:rPr>
                <w:b/>
                <w:sz w:val="19"/>
              </w:rPr>
              <w:t>Can I grant extra free time?</w:t>
            </w:r>
          </w:p>
        </w:tc>
        <w:tc>
          <w:tcPr>
            <w:tcW w:type="dxa" w:w="5040"/>
          </w:tcPr>
          <w:p>
            <w:r/>
            <w:r>
              <w:rPr>
                <w:sz w:val="19"/>
              </w:rPr>
              <w:t>Platform Admin: yes. Agent: request it</w:t>
            </w:r>
          </w:p>
        </w:tc>
      </w:tr>
      <w:tr>
        <w:tc>
          <w:tcPr>
            <w:tcW w:type="dxa" w:w="4464"/>
          </w:tcPr>
          <w:p>
            <w:r/>
            <w:r>
              <w:rPr>
                <w:b/>
                <w:sz w:val="19"/>
              </w:rPr>
              <w:t>What should I charge for setup?</w:t>
            </w:r>
          </w:p>
        </w:tc>
        <w:tc>
          <w:tcPr>
            <w:tcW w:type="dxa" w:w="5040"/>
          </w:tcPr>
          <w:p>
            <w:r/>
            <w:r>
              <w:rPr>
                <w:sz w:val="19"/>
              </w:rPr>
              <w:t>₦30,000 to ₦100,000, based on the work</w:t>
            </w:r>
          </w:p>
        </w:tc>
      </w:tr>
      <w:tr>
        <w:tc>
          <w:tcPr>
            <w:tcW w:type="dxa" w:w="4464"/>
          </w:tcPr>
          <w:p>
            <w:r/>
            <w:r>
              <w:rPr>
                <w:b/>
                <w:sz w:val="19"/>
              </w:rPr>
              <w:t>Can I discount the subscription?</w:t>
            </w:r>
          </w:p>
        </w:tc>
        <w:tc>
          <w:tcPr>
            <w:tcW w:type="dxa" w:w="5040"/>
          </w:tcPr>
          <w:p>
            <w:r/>
            <w:r>
              <w:rPr>
                <w:sz w:val="19"/>
              </w:rPr>
              <w:t>No, discount your own fee instead</w:t>
            </w:r>
          </w:p>
        </w:tc>
      </w:tr>
      <w:tr>
        <w:tc>
          <w:tcPr>
            <w:tcW w:type="dxa" w:w="4464"/>
          </w:tcPr>
          <w:p>
            <w:r/>
            <w:r>
              <w:rPr>
                <w:b/>
                <w:sz w:val="19"/>
              </w:rPr>
              <w:t>How do I make a store mine?</w:t>
            </w:r>
          </w:p>
        </w:tc>
        <w:tc>
          <w:tcPr>
            <w:tcW w:type="dxa" w:w="5040"/>
          </w:tcPr>
          <w:p>
            <w:r/>
            <w:r>
              <w:rPr>
                <w:sz w:val="19"/>
              </w:rPr>
              <w:t>Register it, or use your referral link</w:t>
            </w:r>
          </w:p>
        </w:tc>
      </w:tr>
      <w:tr>
        <w:tc>
          <w:tcPr>
            <w:tcW w:type="dxa" w:w="4464"/>
          </w:tcPr>
          <w:p>
            <w:r/>
            <w:r>
              <w:rPr>
                <w:b/>
                <w:sz w:val="19"/>
              </w:rPr>
              <w:t>Who do I escalate a real fault to?</w:t>
            </w:r>
          </w:p>
        </w:tc>
        <w:tc>
          <w:tcPr>
            <w:tcW w:type="dxa" w:w="5040"/>
          </w:tcPr>
          <w:p>
            <w:r/>
            <w:r>
              <w:rPr>
                <w:sz w:val="19"/>
              </w:rPr>
              <w:t>The owner, immediately, with details</w:t>
            </w:r>
          </w:p>
        </w:tc>
      </w:tr>
    </w:tbl>
    <w:p>
      <w:pPr>
        <w:spacing w:after="80"/>
      </w:pPr>
    </w:p>
    <w:p/>
    <w:p>
      <w:pPr>
        <w:spacing w:after="120"/>
        <w:jc w:val="center"/>
      </w:pPr>
      <w:r>
        <w:rPr>
          <w:b w:val="0"/>
          <w:i/>
          <w:color w:val="6B7280"/>
          <w:sz w:val="19"/>
        </w:rPr>
        <w:t>Questions about anything in this document should go to the owner before you act on an assumption.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0B5D4A"/>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0B5D4A"/>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Calibri" w:hAnsi="Calibri"/>
      <w:b/>
      <w:bCs/>
      <w:color w:val="333F4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