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37AC5" w14:textId="77777777" w:rsidR="00E5794E" w:rsidRPr="00D92EB6" w:rsidRDefault="00C72FCC" w:rsidP="000D0291">
      <w:pPr>
        <w:jc w:val="both"/>
        <w:rPr>
          <w:rFonts w:ascii="Calibri" w:hAnsi="Calibri"/>
        </w:rPr>
      </w:pPr>
      <w:r w:rsidRPr="00D92EB6">
        <w:rPr>
          <w:rFonts w:ascii="Calibri" w:hAnsi="Calibri"/>
          <w:b/>
        </w:rPr>
        <w:t>Methods</w:t>
      </w:r>
      <w:r w:rsidRPr="00D92EB6">
        <w:rPr>
          <w:rFonts w:ascii="Calibri" w:hAnsi="Calibri"/>
        </w:rPr>
        <w:t xml:space="preserve"> </w:t>
      </w:r>
    </w:p>
    <w:p w14:paraId="364998AE" w14:textId="77777777" w:rsidR="00C72FCC" w:rsidRPr="00C72FCC" w:rsidRDefault="00C72FCC" w:rsidP="000D0291">
      <w:pPr>
        <w:jc w:val="both"/>
        <w:rPr>
          <w:rFonts w:ascii="Calibri" w:hAnsi="Calibri"/>
          <w:sz w:val="22"/>
        </w:rPr>
      </w:pPr>
    </w:p>
    <w:p w14:paraId="40731F22" w14:textId="77777777" w:rsidR="00C72FCC" w:rsidRPr="00CB578C" w:rsidRDefault="00C72FCC" w:rsidP="000D0291">
      <w:pPr>
        <w:jc w:val="both"/>
        <w:rPr>
          <w:rFonts w:ascii="Calibri" w:hAnsi="Calibri"/>
          <w:b/>
          <w:sz w:val="22"/>
        </w:rPr>
      </w:pPr>
      <w:r w:rsidRPr="00CB578C">
        <w:rPr>
          <w:rFonts w:ascii="Calibri" w:hAnsi="Calibri"/>
          <w:b/>
          <w:sz w:val="22"/>
        </w:rPr>
        <w:t xml:space="preserve">Transcriptome </w:t>
      </w:r>
      <w:r w:rsidR="00D92EB6" w:rsidRPr="00CB578C">
        <w:rPr>
          <w:rFonts w:ascii="Calibri" w:hAnsi="Calibri"/>
          <w:b/>
          <w:sz w:val="22"/>
        </w:rPr>
        <w:t>sequencing and analysis</w:t>
      </w:r>
    </w:p>
    <w:p w14:paraId="1B7E1F9D" w14:textId="77777777" w:rsidR="00D92EB6" w:rsidRDefault="00D92EB6" w:rsidP="000D0291">
      <w:pPr>
        <w:jc w:val="both"/>
        <w:rPr>
          <w:rFonts w:ascii="Calibri" w:hAnsi="Calibri"/>
          <w:sz w:val="22"/>
        </w:rPr>
      </w:pPr>
    </w:p>
    <w:p w14:paraId="420BBA72" w14:textId="1B050A70" w:rsidR="007A4CBC" w:rsidRPr="007A4CBC" w:rsidRDefault="000D0291" w:rsidP="00511DDB">
      <w:pPr>
        <w:jc w:val="both"/>
        <w:rPr>
          <w:rFonts w:ascii="Calibri" w:hAnsi="Calibri"/>
          <w:sz w:val="22"/>
        </w:rPr>
      </w:pPr>
      <w:r>
        <w:rPr>
          <w:rFonts w:ascii="Calibri" w:hAnsi="Calibri"/>
          <w:sz w:val="22"/>
        </w:rPr>
        <w:t xml:space="preserve">A single individual of </w:t>
      </w:r>
      <w:r w:rsidR="00BE6254" w:rsidRPr="00BE6254">
        <w:rPr>
          <w:rFonts w:ascii="Calibri" w:hAnsi="Calibri"/>
          <w:i/>
          <w:sz w:val="22"/>
        </w:rPr>
        <w:t>Oreobates cruralis</w:t>
      </w:r>
      <w:r w:rsidR="00BE6254">
        <w:rPr>
          <w:rFonts w:ascii="Calibri" w:hAnsi="Calibri"/>
          <w:sz w:val="22"/>
        </w:rPr>
        <w:t xml:space="preserve"> </w:t>
      </w:r>
      <w:proofErr w:type="spellStart"/>
      <w:r w:rsidRPr="000D0291">
        <w:rPr>
          <w:rFonts w:ascii="Calibri" w:hAnsi="Calibri"/>
          <w:sz w:val="22"/>
        </w:rPr>
        <w:t>Boulenger</w:t>
      </w:r>
      <w:proofErr w:type="spellEnd"/>
      <w:r w:rsidRPr="000D0291">
        <w:rPr>
          <w:rFonts w:ascii="Calibri" w:hAnsi="Calibri"/>
          <w:sz w:val="22"/>
        </w:rPr>
        <w:t>, 1902</w:t>
      </w:r>
      <w:r>
        <w:rPr>
          <w:rFonts w:ascii="Calibri" w:hAnsi="Calibri"/>
          <w:sz w:val="22"/>
        </w:rPr>
        <w:t xml:space="preserve"> (</w:t>
      </w:r>
      <w:proofErr w:type="spellStart"/>
      <w:r>
        <w:rPr>
          <w:rFonts w:ascii="Calibri" w:hAnsi="Calibri"/>
          <w:iCs/>
          <w:sz w:val="22"/>
        </w:rPr>
        <w:t>Taxon</w:t>
      </w:r>
      <w:r w:rsidRPr="000D0291">
        <w:rPr>
          <w:rFonts w:ascii="Calibri" w:hAnsi="Calibri"/>
          <w:iCs/>
          <w:sz w:val="22"/>
        </w:rPr>
        <w:t>ID</w:t>
      </w:r>
      <w:proofErr w:type="spellEnd"/>
      <w:r w:rsidRPr="000D0291">
        <w:rPr>
          <w:rFonts w:ascii="Calibri" w:hAnsi="Calibri"/>
          <w:iCs/>
          <w:sz w:val="22"/>
        </w:rPr>
        <w:t>:</w:t>
      </w:r>
      <w:r w:rsidRPr="000D0291">
        <w:rPr>
          <w:rFonts w:ascii="Calibri" w:hAnsi="Calibri"/>
          <w:i/>
          <w:iCs/>
          <w:sz w:val="22"/>
        </w:rPr>
        <w:t xml:space="preserve"> </w:t>
      </w:r>
      <w:r w:rsidRPr="000D0291">
        <w:rPr>
          <w:rFonts w:ascii="Calibri" w:hAnsi="Calibri"/>
          <w:sz w:val="22"/>
        </w:rPr>
        <w:t>448617</w:t>
      </w:r>
      <w:r w:rsidR="00BE6254">
        <w:rPr>
          <w:rFonts w:ascii="Calibri" w:hAnsi="Calibri"/>
          <w:sz w:val="22"/>
        </w:rPr>
        <w:t xml:space="preserve">) </w:t>
      </w:r>
      <w:r w:rsidR="00BD3907">
        <w:rPr>
          <w:rFonts w:ascii="Calibri" w:hAnsi="Calibri"/>
          <w:sz w:val="22"/>
        </w:rPr>
        <w:t>collected in XX/XX/XXXX</w:t>
      </w:r>
      <w:r w:rsidR="00E86DD1">
        <w:rPr>
          <w:rFonts w:ascii="Calibri" w:hAnsi="Calibri"/>
          <w:sz w:val="22"/>
        </w:rPr>
        <w:t xml:space="preserve"> </w:t>
      </w:r>
      <w:r w:rsidR="00BE6254">
        <w:rPr>
          <w:rFonts w:ascii="Calibri" w:hAnsi="Calibri"/>
          <w:sz w:val="22"/>
        </w:rPr>
        <w:t xml:space="preserve">was </w:t>
      </w:r>
      <w:r>
        <w:rPr>
          <w:rFonts w:ascii="Calibri" w:hAnsi="Calibri"/>
          <w:sz w:val="22"/>
        </w:rPr>
        <w:t>used</w:t>
      </w:r>
      <w:r w:rsidR="00BE6254">
        <w:rPr>
          <w:rFonts w:ascii="Calibri" w:hAnsi="Calibri"/>
          <w:sz w:val="22"/>
        </w:rPr>
        <w:t xml:space="preserve"> for transcriptome sequencing.</w:t>
      </w:r>
      <w:r>
        <w:rPr>
          <w:rFonts w:ascii="Calibri" w:hAnsi="Calibri"/>
          <w:sz w:val="22"/>
        </w:rPr>
        <w:t xml:space="preserve"> </w:t>
      </w:r>
      <w:r w:rsidR="00E86DD1">
        <w:rPr>
          <w:rFonts w:ascii="Calibri" w:hAnsi="Calibri"/>
          <w:sz w:val="22"/>
        </w:rPr>
        <w:t xml:space="preserve">Samples of </w:t>
      </w:r>
      <w:r w:rsidR="00620E34">
        <w:rPr>
          <w:rFonts w:ascii="Calibri" w:hAnsi="Calibri"/>
          <w:sz w:val="22"/>
        </w:rPr>
        <w:t>three tissues (</w:t>
      </w:r>
      <w:r w:rsidR="00E86DD1">
        <w:rPr>
          <w:rFonts w:ascii="Calibri" w:hAnsi="Calibri"/>
          <w:sz w:val="22"/>
        </w:rPr>
        <w:t>intestine, liver and spleen</w:t>
      </w:r>
      <w:r w:rsidR="00620E34">
        <w:rPr>
          <w:rFonts w:ascii="Calibri" w:hAnsi="Calibri"/>
          <w:sz w:val="22"/>
        </w:rPr>
        <w:t>)</w:t>
      </w:r>
      <w:r w:rsidR="00E86DD1">
        <w:rPr>
          <w:rFonts w:ascii="Calibri" w:hAnsi="Calibri"/>
          <w:sz w:val="22"/>
        </w:rPr>
        <w:t xml:space="preserve"> were preserved in RNA Later and w</w:t>
      </w:r>
      <w:r>
        <w:rPr>
          <w:rFonts w:ascii="Calibri" w:hAnsi="Calibri"/>
          <w:sz w:val="22"/>
        </w:rPr>
        <w:t xml:space="preserve">hole RNA </w:t>
      </w:r>
      <w:r w:rsidR="00E86DD1">
        <w:rPr>
          <w:rFonts w:ascii="Calibri" w:hAnsi="Calibri"/>
          <w:sz w:val="22"/>
        </w:rPr>
        <w:t xml:space="preserve">was extracted using </w:t>
      </w:r>
      <w:r w:rsidR="00A56ABD">
        <w:rPr>
          <w:rFonts w:ascii="Calibri" w:hAnsi="Calibri"/>
          <w:sz w:val="22"/>
        </w:rPr>
        <w:t xml:space="preserve">the </w:t>
      </w:r>
      <w:r w:rsidR="00A56ABD" w:rsidRPr="00A56ABD">
        <w:rPr>
          <w:rFonts w:ascii="Calibri" w:hAnsi="Calibri"/>
          <w:sz w:val="22"/>
        </w:rPr>
        <w:t>RNeasy Protect Mini Kit (</w:t>
      </w:r>
      <w:proofErr w:type="spellStart"/>
      <w:r w:rsidR="00A56ABD" w:rsidRPr="00A56ABD">
        <w:rPr>
          <w:rFonts w:ascii="Calibri" w:hAnsi="Calibri"/>
          <w:sz w:val="22"/>
        </w:rPr>
        <w:t>Qiagen</w:t>
      </w:r>
      <w:proofErr w:type="spellEnd"/>
      <w:r w:rsidR="00A56ABD" w:rsidRPr="00A56ABD">
        <w:rPr>
          <w:rFonts w:ascii="Calibri" w:hAnsi="Calibri"/>
          <w:sz w:val="22"/>
        </w:rPr>
        <w:t>).</w:t>
      </w:r>
      <w:r w:rsidR="00A56ABD">
        <w:rPr>
          <w:rFonts w:ascii="Calibri" w:hAnsi="Calibri"/>
          <w:sz w:val="22"/>
        </w:rPr>
        <w:t xml:space="preserve"> </w:t>
      </w:r>
      <w:r w:rsidR="007A4CBC">
        <w:rPr>
          <w:rFonts w:ascii="Calibri" w:hAnsi="Calibri"/>
          <w:sz w:val="22"/>
        </w:rPr>
        <w:t>RNA quality was</w:t>
      </w:r>
      <w:r w:rsidR="00A56ABD" w:rsidRPr="00A56ABD">
        <w:rPr>
          <w:rFonts w:ascii="Calibri" w:hAnsi="Calibri"/>
          <w:sz w:val="22"/>
        </w:rPr>
        <w:t xml:space="preserve"> evaluated </w:t>
      </w:r>
      <w:r w:rsidR="007A4CBC">
        <w:rPr>
          <w:rFonts w:ascii="Calibri" w:hAnsi="Calibri"/>
          <w:sz w:val="22"/>
        </w:rPr>
        <w:t>with</w:t>
      </w:r>
      <w:r w:rsidR="00A56ABD" w:rsidRPr="00A56ABD">
        <w:rPr>
          <w:rFonts w:ascii="Calibri" w:hAnsi="Calibri"/>
          <w:sz w:val="22"/>
        </w:rPr>
        <w:t xml:space="preserve"> </w:t>
      </w:r>
      <w:r w:rsidR="007A4CBC" w:rsidRPr="007A4CBC">
        <w:rPr>
          <w:rFonts w:ascii="Calibri" w:hAnsi="Calibri"/>
          <w:sz w:val="22"/>
        </w:rPr>
        <w:t xml:space="preserve">RNA </w:t>
      </w:r>
      <w:proofErr w:type="spellStart"/>
      <w:r w:rsidR="007A4CBC" w:rsidRPr="007A4CBC">
        <w:rPr>
          <w:rFonts w:ascii="Calibri" w:hAnsi="Calibri"/>
          <w:sz w:val="22"/>
        </w:rPr>
        <w:t>ScreenTape</w:t>
      </w:r>
      <w:proofErr w:type="spellEnd"/>
      <w:r w:rsidR="007A4CBC" w:rsidRPr="007A4CBC">
        <w:rPr>
          <w:rFonts w:ascii="Calibri" w:hAnsi="Calibri"/>
          <w:sz w:val="22"/>
        </w:rPr>
        <w:t xml:space="preserve"> on </w:t>
      </w:r>
      <w:proofErr w:type="spellStart"/>
      <w:r w:rsidR="007A4CBC" w:rsidRPr="007A4CBC">
        <w:rPr>
          <w:rFonts w:ascii="Calibri" w:hAnsi="Calibri"/>
          <w:sz w:val="22"/>
        </w:rPr>
        <w:t>TapeStation</w:t>
      </w:r>
      <w:proofErr w:type="spellEnd"/>
      <w:r w:rsidR="007A4CBC" w:rsidRPr="007A4CBC">
        <w:rPr>
          <w:rFonts w:ascii="Calibri" w:hAnsi="Calibri"/>
          <w:sz w:val="22"/>
        </w:rPr>
        <w:t xml:space="preserve"> by Agilent</w:t>
      </w:r>
      <w:r w:rsidR="007A4CBC">
        <w:rPr>
          <w:rFonts w:ascii="Calibri" w:hAnsi="Calibri"/>
          <w:sz w:val="22"/>
        </w:rPr>
        <w:t xml:space="preserve">, </w:t>
      </w:r>
      <w:r w:rsidR="00C710E6">
        <w:rPr>
          <w:rFonts w:ascii="Calibri" w:hAnsi="Calibri"/>
          <w:sz w:val="22"/>
        </w:rPr>
        <w:t>with RIN scores of 6.2, 7.3 and 7.1</w:t>
      </w:r>
      <w:r w:rsidR="00A56ABD" w:rsidRPr="00A56ABD">
        <w:rPr>
          <w:rFonts w:ascii="Calibri" w:hAnsi="Calibri"/>
          <w:sz w:val="22"/>
        </w:rPr>
        <w:t xml:space="preserve"> respectively. Sequencin</w:t>
      </w:r>
      <w:r w:rsidR="00045266">
        <w:rPr>
          <w:rFonts w:ascii="Calibri" w:hAnsi="Calibri"/>
          <w:sz w:val="22"/>
        </w:rPr>
        <w:t xml:space="preserve">g libraries were prepared </w:t>
      </w:r>
      <w:r w:rsidR="0093128A">
        <w:rPr>
          <w:rFonts w:ascii="Calibri" w:hAnsi="Calibri"/>
          <w:sz w:val="22"/>
        </w:rPr>
        <w:t xml:space="preserve">by </w:t>
      </w:r>
      <w:r w:rsidR="00CB578C">
        <w:rPr>
          <w:rFonts w:ascii="Calibri" w:hAnsi="Calibri"/>
          <w:sz w:val="22"/>
        </w:rPr>
        <w:t>t</w:t>
      </w:r>
      <w:r w:rsidR="00CB578C" w:rsidRPr="00CB578C">
        <w:rPr>
          <w:rFonts w:ascii="Calibri" w:hAnsi="Calibri"/>
          <w:sz w:val="22"/>
        </w:rPr>
        <w:t>he SNP&amp;SEQ Technology Platform at Uppsala University</w:t>
      </w:r>
      <w:r w:rsidR="00CB578C">
        <w:rPr>
          <w:rFonts w:ascii="Calibri" w:hAnsi="Calibri"/>
          <w:sz w:val="22"/>
        </w:rPr>
        <w:t xml:space="preserve"> </w:t>
      </w:r>
      <w:r w:rsidR="00045266">
        <w:rPr>
          <w:rFonts w:ascii="Calibri" w:hAnsi="Calibri"/>
          <w:sz w:val="22"/>
        </w:rPr>
        <w:t xml:space="preserve">from </w:t>
      </w:r>
      <w:r w:rsidR="00045266" w:rsidRPr="00045266">
        <w:rPr>
          <w:rFonts w:ascii="Calibri" w:hAnsi="Calibri"/>
          <w:sz w:val="22"/>
        </w:rPr>
        <w:t xml:space="preserve">1μg total RNA using the </w:t>
      </w:r>
      <w:proofErr w:type="spellStart"/>
      <w:r w:rsidR="00045266" w:rsidRPr="00045266">
        <w:rPr>
          <w:rFonts w:ascii="Calibri" w:hAnsi="Calibri"/>
          <w:sz w:val="22"/>
        </w:rPr>
        <w:t>TruSeq</w:t>
      </w:r>
      <w:proofErr w:type="spellEnd"/>
      <w:r w:rsidR="00045266" w:rsidRPr="00045266">
        <w:rPr>
          <w:rFonts w:ascii="Calibri" w:hAnsi="Calibri"/>
          <w:sz w:val="22"/>
        </w:rPr>
        <w:t xml:space="preserve"> stranded mRNA library preparation kit (Cat# R</w:t>
      </w:r>
      <w:r w:rsidR="0093128A">
        <w:rPr>
          <w:rFonts w:ascii="Calibri" w:hAnsi="Calibri"/>
          <w:sz w:val="22"/>
        </w:rPr>
        <w:t xml:space="preserve">S-122-2101/2102, Illumina Inc.) </w:t>
      </w:r>
      <w:r w:rsidR="00CB578C">
        <w:rPr>
          <w:rFonts w:ascii="Calibri" w:hAnsi="Calibri"/>
          <w:sz w:val="22"/>
        </w:rPr>
        <w:t xml:space="preserve">and </w:t>
      </w:r>
      <w:r w:rsidR="00045266" w:rsidRPr="00045266">
        <w:rPr>
          <w:rFonts w:ascii="Calibri" w:hAnsi="Calibri"/>
          <w:sz w:val="22"/>
        </w:rPr>
        <w:t>including poly</w:t>
      </w:r>
      <w:r w:rsidR="00045266">
        <w:rPr>
          <w:rFonts w:ascii="Calibri" w:hAnsi="Calibri"/>
          <w:sz w:val="22"/>
        </w:rPr>
        <w:t>-</w:t>
      </w:r>
      <w:r w:rsidR="00045266" w:rsidRPr="00045266">
        <w:rPr>
          <w:rFonts w:ascii="Calibri" w:hAnsi="Calibri"/>
          <w:sz w:val="22"/>
        </w:rPr>
        <w:t>A selection.</w:t>
      </w:r>
      <w:r w:rsidR="00045266">
        <w:rPr>
          <w:rFonts w:ascii="Calibri" w:hAnsi="Calibri"/>
          <w:sz w:val="22"/>
        </w:rPr>
        <w:t xml:space="preserve"> </w:t>
      </w:r>
      <w:r w:rsidR="00045266" w:rsidRPr="00045266">
        <w:rPr>
          <w:rFonts w:ascii="Calibri" w:hAnsi="Calibri"/>
          <w:sz w:val="22"/>
        </w:rPr>
        <w:t>The library preparation was performed according to the manufacturers’ protocol (#15031047).</w:t>
      </w:r>
      <w:r w:rsidR="0093128A">
        <w:rPr>
          <w:rFonts w:ascii="Calibri" w:hAnsi="Calibri"/>
          <w:sz w:val="22"/>
        </w:rPr>
        <w:t xml:space="preserve"> </w:t>
      </w:r>
      <w:r w:rsidR="007A4CBC" w:rsidRPr="007A4CBC">
        <w:rPr>
          <w:rFonts w:ascii="Calibri" w:hAnsi="Calibri"/>
          <w:sz w:val="22"/>
        </w:rPr>
        <w:t xml:space="preserve">The quality of the libraries was evaluated using the Agilent Technologies </w:t>
      </w:r>
      <w:proofErr w:type="spellStart"/>
      <w:r w:rsidR="007A4CBC" w:rsidRPr="007A4CBC">
        <w:rPr>
          <w:rFonts w:ascii="Calibri" w:hAnsi="Calibri"/>
          <w:sz w:val="22"/>
        </w:rPr>
        <w:t>TapeStation</w:t>
      </w:r>
      <w:proofErr w:type="spellEnd"/>
      <w:r w:rsidR="007A4CBC" w:rsidRPr="007A4CBC">
        <w:rPr>
          <w:rFonts w:ascii="Calibri" w:hAnsi="Calibri"/>
          <w:sz w:val="22"/>
        </w:rPr>
        <w:t xml:space="preserve"> and a DNA 1000-kit Screen Tape. The adapter-ligated fragments were quantified by qPCR using the Library quantification kit for Illumina (KAPA Biosystems) on a </w:t>
      </w:r>
      <w:proofErr w:type="spellStart"/>
      <w:r w:rsidR="007A4CBC" w:rsidRPr="007A4CBC">
        <w:rPr>
          <w:rFonts w:ascii="Calibri" w:hAnsi="Calibri"/>
          <w:sz w:val="22"/>
        </w:rPr>
        <w:t>StepOnePlus</w:t>
      </w:r>
      <w:proofErr w:type="spellEnd"/>
      <w:r w:rsidR="007A4CBC" w:rsidRPr="007A4CBC">
        <w:rPr>
          <w:rFonts w:ascii="Calibri" w:hAnsi="Calibri"/>
          <w:sz w:val="22"/>
        </w:rPr>
        <w:t xml:space="preserve"> instrument (Applied Biosystems/Life technologies) prior to cluster generation and sequencing.</w:t>
      </w:r>
      <w:r w:rsidR="00511DDB">
        <w:rPr>
          <w:rFonts w:ascii="Calibri" w:hAnsi="Calibri"/>
          <w:sz w:val="22"/>
        </w:rPr>
        <w:t xml:space="preserve"> </w:t>
      </w:r>
      <w:r w:rsidR="00511DDB" w:rsidRPr="007A4CBC">
        <w:rPr>
          <w:rFonts w:ascii="Calibri" w:eastAsia="Times New Roman" w:hAnsi="Calibri" w:cs="Times New Roman"/>
          <w:sz w:val="22"/>
          <w:szCs w:val="22"/>
          <w:lang w:val="en-GB" w:eastAsia="en-GB"/>
        </w:rPr>
        <w:t>A</w:t>
      </w:r>
      <w:r w:rsidR="007A4CBC" w:rsidRPr="007A4CBC">
        <w:rPr>
          <w:rFonts w:ascii="Calibri" w:eastAsia="Times New Roman" w:hAnsi="Calibri" w:cs="Times New Roman"/>
          <w:sz w:val="22"/>
          <w:szCs w:val="22"/>
          <w:lang w:val="en-GB" w:eastAsia="en-GB"/>
        </w:rPr>
        <w:t xml:space="preserve"> 14 </w:t>
      </w:r>
      <w:proofErr w:type="spellStart"/>
      <w:r w:rsidR="007A4CBC" w:rsidRPr="007A4CBC">
        <w:rPr>
          <w:rFonts w:ascii="Calibri" w:eastAsia="Times New Roman" w:hAnsi="Calibri" w:cs="Times New Roman"/>
          <w:sz w:val="22"/>
          <w:szCs w:val="22"/>
          <w:lang w:val="en-GB" w:eastAsia="en-GB"/>
        </w:rPr>
        <w:t>pM</w:t>
      </w:r>
      <w:proofErr w:type="spellEnd"/>
      <w:r w:rsidR="007A4CBC" w:rsidRPr="007A4CBC">
        <w:rPr>
          <w:rFonts w:ascii="Calibri" w:eastAsia="Times New Roman" w:hAnsi="Calibri" w:cs="Times New Roman"/>
          <w:sz w:val="22"/>
          <w:szCs w:val="22"/>
          <w:lang w:val="en-GB" w:eastAsia="en-GB"/>
        </w:rPr>
        <w:t xml:space="preserve"> solution of RNA was subjected to cluster generation and paired-end sequencing with 125 </w:t>
      </w:r>
      <w:proofErr w:type="spellStart"/>
      <w:r w:rsidR="007A4CBC" w:rsidRPr="007A4CBC">
        <w:rPr>
          <w:rFonts w:ascii="Calibri" w:eastAsia="Times New Roman" w:hAnsi="Calibri" w:cs="Times New Roman"/>
          <w:sz w:val="22"/>
          <w:szCs w:val="22"/>
          <w:lang w:val="en-GB" w:eastAsia="en-GB"/>
        </w:rPr>
        <w:t>bp</w:t>
      </w:r>
      <w:proofErr w:type="spellEnd"/>
      <w:r w:rsidR="007A4CBC" w:rsidRPr="007A4CBC">
        <w:rPr>
          <w:rFonts w:ascii="Calibri" w:eastAsia="Times New Roman" w:hAnsi="Calibri" w:cs="Times New Roman"/>
          <w:sz w:val="22"/>
          <w:szCs w:val="22"/>
          <w:lang w:val="en-GB" w:eastAsia="en-GB"/>
        </w:rPr>
        <w:t xml:space="preserve"> read length on the HiSeq2500 (Illumina Inc.) using the v4 chemistry according to the manufacturer’s protocols.</w:t>
      </w:r>
    </w:p>
    <w:p w14:paraId="2E895CD6" w14:textId="77777777" w:rsidR="00432432" w:rsidRDefault="00432432" w:rsidP="000D0291">
      <w:pPr>
        <w:jc w:val="both"/>
        <w:rPr>
          <w:rFonts w:ascii="Calibri" w:hAnsi="Calibri"/>
          <w:sz w:val="22"/>
        </w:rPr>
      </w:pPr>
    </w:p>
    <w:p w14:paraId="66BB5329" w14:textId="55F07F29" w:rsidR="00F55F63" w:rsidRDefault="00CB578C" w:rsidP="000D0291">
      <w:pPr>
        <w:jc w:val="both"/>
        <w:rPr>
          <w:rFonts w:ascii="Calibri" w:hAnsi="Calibri"/>
          <w:sz w:val="22"/>
        </w:rPr>
      </w:pPr>
      <w:r>
        <w:rPr>
          <w:rFonts w:ascii="Calibri" w:hAnsi="Calibri"/>
          <w:sz w:val="22"/>
        </w:rPr>
        <w:t xml:space="preserve">Raw transcriptomic data was cleaned following </w:t>
      </w:r>
      <w:r w:rsidR="00432432">
        <w:rPr>
          <w:rFonts w:ascii="Calibri" w:hAnsi="Calibri"/>
          <w:sz w:val="22"/>
        </w:rPr>
        <w:fldChar w:fldCharType="begin" w:fldLock="1"/>
      </w:r>
      <w:r w:rsidR="00B01B36">
        <w:rPr>
          <w:rFonts w:ascii="Calibri" w:hAnsi="Calibri"/>
          <w:sz w:val="22"/>
        </w:rPr>
        <w:instrText>ADDIN CSL_CITATION { "citationItems" : [ { "id" : "ITEM-1", "itemData" : { "DOI" : "10.1111/1755-0998.12077", "ISBN" : "1755-0998", "ISSN" : "1755098X", "PMID" : "23414390", "abstract" : "High-throughput sequencing (HTS) is revolutionizing biological research by enabling scientists to quickly and cheaply query variation at a genomic scale. Despite the increasing ease of obtaining such data, using these data effectively still poses notable challenges, especially for those working with organisms without a high-quality reference genome. For every stage of analysis - from assembly to annotation to variant discovery - researchers have to distinguish technical artefacts from the biological realities of their data before they can make inference. In this work, I explore these challenges by generating a large de novo comparative transcriptomic data set data for a clade of lizards and constructing a pipeline to analyse these data. Then, using a combination of novel metrics and an externally validated variant data set, I test the efficacy of my approach, identify areas of improvement, and propose ways to minimize these errors. I find that with careful data curation, HTS can be a powerful tool for generating genomic data for non-model organisms.", "author" : [ { "dropping-particle" : "", "family" : "Singhal", "given" : "Sonal", "non-dropping-particle" : "", "parse-names" : false, "suffix" : "" } ], "container-title" : "Molecular Ecology Resources", "id" : "ITEM-1", "issue" : "3", "issued" : { "date-parts" : [ [ "2013", "5" ] ] }, "page" : "403-416", "title" : "De novo transcriptomic analyses for non-model organisms: An evaluation of methods across a multi-species data set", "type" : "article-journal", "volume" : "13" }, "uris" : [ "http://www.mendeley.com/documents/?uuid=900e507e-8314-3dbb-8d73-e0892ac0a6bf" ] } ], "mendeley" : { "formattedCitation" : "(Singhal 2013)", "manualFormatting" : "Singhal (2013)", "plainTextFormattedCitation" : "(Singhal 2013)", "previouslyFormattedCitation" : "(Singhal 2013)" }, "properties" : { "noteIndex" : 0 }, "schema" : "https://github.com/citation-style-language/schema/raw/master/csl-citation.json" }</w:instrText>
      </w:r>
      <w:r w:rsidR="00432432">
        <w:rPr>
          <w:rFonts w:ascii="Calibri" w:hAnsi="Calibri"/>
          <w:sz w:val="22"/>
        </w:rPr>
        <w:fldChar w:fldCharType="separate"/>
      </w:r>
      <w:r w:rsidR="00432432" w:rsidRPr="00432432">
        <w:rPr>
          <w:rFonts w:ascii="Calibri" w:hAnsi="Calibri"/>
          <w:noProof/>
          <w:sz w:val="22"/>
        </w:rPr>
        <w:t xml:space="preserve">Singhal </w:t>
      </w:r>
      <w:r w:rsidR="00432432">
        <w:rPr>
          <w:rFonts w:ascii="Calibri" w:hAnsi="Calibri"/>
          <w:noProof/>
          <w:sz w:val="22"/>
        </w:rPr>
        <w:t>(</w:t>
      </w:r>
      <w:r w:rsidR="00432432" w:rsidRPr="00432432">
        <w:rPr>
          <w:rFonts w:ascii="Calibri" w:hAnsi="Calibri"/>
          <w:noProof/>
          <w:sz w:val="22"/>
        </w:rPr>
        <w:t>2013)</w:t>
      </w:r>
      <w:r w:rsidR="00432432">
        <w:rPr>
          <w:rFonts w:ascii="Calibri" w:hAnsi="Calibri"/>
          <w:sz w:val="22"/>
        </w:rPr>
        <w:fldChar w:fldCharType="end"/>
      </w:r>
      <w:r w:rsidR="00432432">
        <w:rPr>
          <w:rFonts w:ascii="Calibri" w:hAnsi="Calibri"/>
          <w:sz w:val="22"/>
        </w:rPr>
        <w:t xml:space="preserve">. </w:t>
      </w:r>
      <w:r w:rsidR="00432432" w:rsidRPr="00432432">
        <w:rPr>
          <w:rFonts w:ascii="Calibri" w:hAnsi="Calibri"/>
          <w:sz w:val="22"/>
        </w:rPr>
        <w:t xml:space="preserve">In brief, raw </w:t>
      </w:r>
      <w:proofErr w:type="spellStart"/>
      <w:r w:rsidR="00432432" w:rsidRPr="00432432">
        <w:rPr>
          <w:rFonts w:ascii="Calibri" w:hAnsi="Calibri"/>
          <w:sz w:val="22"/>
        </w:rPr>
        <w:t>fastq</w:t>
      </w:r>
      <w:proofErr w:type="spellEnd"/>
      <w:r w:rsidR="00432432" w:rsidRPr="00432432">
        <w:rPr>
          <w:rFonts w:ascii="Calibri" w:hAnsi="Calibri"/>
          <w:sz w:val="22"/>
        </w:rPr>
        <w:t xml:space="preserve"> reads were filtered using SORTMERNA</w:t>
      </w:r>
      <w:r w:rsidR="00432432">
        <w:rPr>
          <w:rFonts w:ascii="Calibri" w:hAnsi="Calibri"/>
          <w:sz w:val="22"/>
        </w:rPr>
        <w:t xml:space="preserve"> </w:t>
      </w:r>
      <w:r w:rsidR="00B01B36">
        <w:rPr>
          <w:rFonts w:ascii="Calibri" w:hAnsi="Calibri"/>
          <w:sz w:val="22"/>
        </w:rPr>
        <w:fldChar w:fldCharType="begin" w:fldLock="1"/>
      </w:r>
      <w:r w:rsidR="00F55F63">
        <w:rPr>
          <w:rFonts w:ascii="Calibri" w:hAnsi="Calibri"/>
          <w:sz w:val="22"/>
        </w:rPr>
        <w:instrText>ADDIN CSL_CITATION { "citationItems" : [ { "id" : "ITEM-1", "itemData" : { "DOI" : "10.1093/bioinformatics/bts611", "ISBN" : "1367-4811 (Electronic)\\r1367-4803 (Linking)", "ISSN" : "13674803", "PMID" : "23071270", "abstract" : "Motivation: The application of next-generation sequencing (NGS) technologies to RNAs directly extracted from a community of organ- 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 cation of the constituting species. Results: We present SortMeRNA, a new software designed to rapidly filter rRNA fragments from metatranscriptomic data. It is capable of handling large sets of reads and sorting out all fragments matching to the rRNA database with high sensitivity and low running time.", "author" : [ { "dropping-particle" : "", "family" : "Kopylova", "given" : "Evguenia", "non-dropping-particle" : "", "parse-names" : false, "suffix" : "" }, { "dropping-particle" : "", "family" : "No\u00e9", "given" : "Laurent", "non-dropping-particle" : "", "parse-names" : false, "suffix" : "" }, { "dropping-particle" : "", "family" : "Touzet", "given" : "H\u00e9l\u00e8ne", "non-dropping-particle" : "", "parse-names" : false, "suffix" : "" } ], "container-title" : "Bioinformatics", "id" : "ITEM-1", "issue" : "24", "issued" : { "date-parts" : [ [ "2012" ] ] }, "page" : "3211-3217", "title" : "SortMeRNA: Fast and accurate filtering of ribosomal RNAs in metatranscriptomic data", "type" : "article-journal", "volume" : "28" }, "uris" : [ "http://www.mendeley.com/documents/?uuid=89966f9a-c8d2-4513-b6ba-feb552224399" ] } ], "mendeley" : { "formattedCitation" : "(Kopylova &lt;i&gt;et al.&lt;/i&gt; 2012)", "plainTextFormattedCitation" : "(Kopylova et al. 2012)", "previouslyFormattedCitation" : "(Kopylova &lt;i&gt;et al.&lt;/i&gt; 2012)" }, "properties" : { "noteIndex" : 0 }, "schema" : "https://github.com/citation-style-language/schema/raw/master/csl-citation.json" }</w:instrText>
      </w:r>
      <w:r w:rsidR="00B01B36">
        <w:rPr>
          <w:rFonts w:ascii="Calibri" w:hAnsi="Calibri"/>
          <w:sz w:val="22"/>
        </w:rPr>
        <w:fldChar w:fldCharType="separate"/>
      </w:r>
      <w:r w:rsidR="00B01B36" w:rsidRPr="00B01B36">
        <w:rPr>
          <w:rFonts w:ascii="Calibri" w:hAnsi="Calibri"/>
          <w:noProof/>
          <w:sz w:val="22"/>
        </w:rPr>
        <w:t xml:space="preserve">(Kopylova </w:t>
      </w:r>
      <w:r w:rsidR="00B01B36" w:rsidRPr="00B01B36">
        <w:rPr>
          <w:rFonts w:ascii="Calibri" w:hAnsi="Calibri"/>
          <w:i/>
          <w:noProof/>
          <w:sz w:val="22"/>
        </w:rPr>
        <w:t>et al.</w:t>
      </w:r>
      <w:r w:rsidR="00B01B36" w:rsidRPr="00B01B36">
        <w:rPr>
          <w:rFonts w:ascii="Calibri" w:hAnsi="Calibri"/>
          <w:noProof/>
          <w:sz w:val="22"/>
        </w:rPr>
        <w:t xml:space="preserve"> 2012)</w:t>
      </w:r>
      <w:r w:rsidR="00B01B36">
        <w:rPr>
          <w:rFonts w:ascii="Calibri" w:hAnsi="Calibri"/>
          <w:sz w:val="22"/>
        </w:rPr>
        <w:fldChar w:fldCharType="end"/>
      </w:r>
      <w:r w:rsidR="00B01B36">
        <w:rPr>
          <w:rFonts w:ascii="Calibri" w:hAnsi="Calibri"/>
          <w:sz w:val="22"/>
        </w:rPr>
        <w:t xml:space="preserve"> to remove possible </w:t>
      </w:r>
      <w:r w:rsidR="00B01B36" w:rsidRPr="00B01B36">
        <w:rPr>
          <w:rFonts w:ascii="Calibri" w:hAnsi="Calibri"/>
          <w:sz w:val="22"/>
        </w:rPr>
        <w:t>ribosomal RNA (</w:t>
      </w:r>
      <w:proofErr w:type="spellStart"/>
      <w:r w:rsidR="00B01B36" w:rsidRPr="00B01B36">
        <w:rPr>
          <w:rFonts w:ascii="Calibri" w:hAnsi="Calibri"/>
          <w:sz w:val="22"/>
        </w:rPr>
        <w:t>rRNA</w:t>
      </w:r>
      <w:proofErr w:type="spellEnd"/>
      <w:r w:rsidR="00B01B36" w:rsidRPr="00B01B36">
        <w:rPr>
          <w:rFonts w:ascii="Calibri" w:hAnsi="Calibri"/>
          <w:sz w:val="22"/>
        </w:rPr>
        <w:t>) contamination</w:t>
      </w:r>
      <w:r w:rsidR="00B01B36">
        <w:rPr>
          <w:rFonts w:ascii="Calibri" w:hAnsi="Calibri"/>
          <w:sz w:val="22"/>
        </w:rPr>
        <w:t xml:space="preserve">, and </w:t>
      </w:r>
      <w:r w:rsidR="00432432" w:rsidRPr="00432432">
        <w:rPr>
          <w:rFonts w:ascii="Calibri" w:hAnsi="Calibri"/>
          <w:sz w:val="22"/>
        </w:rPr>
        <w:t>TRIMMOMATIC</w:t>
      </w:r>
      <w:r w:rsidR="00432432">
        <w:rPr>
          <w:rFonts w:ascii="Calibri" w:hAnsi="Calibri"/>
          <w:sz w:val="22"/>
        </w:rPr>
        <w:t xml:space="preserve"> </w:t>
      </w:r>
      <w:r w:rsidR="00F55F63">
        <w:rPr>
          <w:rFonts w:ascii="Calibri" w:hAnsi="Calibri"/>
          <w:sz w:val="22"/>
        </w:rPr>
        <w:fldChar w:fldCharType="begin" w:fldLock="1"/>
      </w:r>
      <w:r w:rsidR="006C74A5">
        <w:rPr>
          <w:rFonts w:ascii="Calibri" w:hAnsi="Calibri"/>
          <w:sz w:val="22"/>
        </w:rPr>
        <w:instrText>ADDIN CSL_CITATION { "citationItems" : [ { "id" : "ITEM-1", "itemData" : { "DOI" : "10.1093/bioinformatics/btu170", "ISBN" : "1367-4803", "ISSN" : "14602059", "PMID" : "24695404",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 usadel@bio1.rwth-aachen.de SUPPLEMENTARY INFORMATION: Supplementary data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 ] }, "page" : "2114-2120", "title" : "Trimmomatic: A flexible trimmer for Illumina sequence data", "type" : "article-journal", "volume" : "30" }, "uris" : [ "http://www.mendeley.com/documents/?uuid=ec144552-a38a-4770-a285-ee11d7bc8fb6" ] } ], "mendeley" : { "formattedCitation" : "(Bolger &lt;i&gt;et al.&lt;/i&gt; 2014)", "plainTextFormattedCitation" : "(Bolger et al. 2014)", "previouslyFormattedCitation" : "(Bolger &lt;i&gt;et al.&lt;/i&gt; 2014)" }, "properties" : { "noteIndex" : 0 }, "schema" : "https://github.com/citation-style-language/schema/raw/master/csl-citation.json" }</w:instrText>
      </w:r>
      <w:r w:rsidR="00F55F63">
        <w:rPr>
          <w:rFonts w:ascii="Calibri" w:hAnsi="Calibri"/>
          <w:sz w:val="22"/>
        </w:rPr>
        <w:fldChar w:fldCharType="separate"/>
      </w:r>
      <w:r w:rsidR="00F55F63" w:rsidRPr="00F55F63">
        <w:rPr>
          <w:rFonts w:ascii="Calibri" w:hAnsi="Calibri"/>
          <w:noProof/>
          <w:sz w:val="22"/>
        </w:rPr>
        <w:t xml:space="preserve">(Bolger </w:t>
      </w:r>
      <w:r w:rsidR="00F55F63" w:rsidRPr="00F55F63">
        <w:rPr>
          <w:rFonts w:ascii="Calibri" w:hAnsi="Calibri"/>
          <w:i/>
          <w:noProof/>
          <w:sz w:val="22"/>
        </w:rPr>
        <w:t>et al.</w:t>
      </w:r>
      <w:r w:rsidR="00F55F63" w:rsidRPr="00F55F63">
        <w:rPr>
          <w:rFonts w:ascii="Calibri" w:hAnsi="Calibri"/>
          <w:noProof/>
          <w:sz w:val="22"/>
        </w:rPr>
        <w:t xml:space="preserve"> 2014)</w:t>
      </w:r>
      <w:r w:rsidR="00F55F63">
        <w:rPr>
          <w:rFonts w:ascii="Calibri" w:hAnsi="Calibri"/>
          <w:sz w:val="22"/>
        </w:rPr>
        <w:fldChar w:fldCharType="end"/>
      </w:r>
      <w:r w:rsidR="00F55F63">
        <w:rPr>
          <w:rFonts w:ascii="Calibri" w:hAnsi="Calibri"/>
          <w:sz w:val="22"/>
        </w:rPr>
        <w:t xml:space="preserve"> </w:t>
      </w:r>
      <w:r w:rsidR="00B01B36" w:rsidRPr="00B01B36">
        <w:rPr>
          <w:rFonts w:ascii="Calibri" w:hAnsi="Calibri"/>
          <w:sz w:val="22"/>
        </w:rPr>
        <w:t xml:space="preserve">to </w:t>
      </w:r>
      <w:r w:rsidR="006C74A5">
        <w:rPr>
          <w:rFonts w:ascii="Calibri" w:hAnsi="Calibri"/>
          <w:sz w:val="22"/>
        </w:rPr>
        <w:t xml:space="preserve">perform low </w:t>
      </w:r>
      <w:r w:rsidR="006C74A5" w:rsidRPr="006C74A5">
        <w:rPr>
          <w:rFonts w:ascii="Calibri" w:hAnsi="Calibri"/>
          <w:sz w:val="22"/>
        </w:rPr>
        <w:t>quality trimming and adapter removal</w:t>
      </w:r>
      <w:r w:rsidR="006C74A5">
        <w:rPr>
          <w:rFonts w:ascii="Calibri" w:hAnsi="Calibri"/>
          <w:sz w:val="22"/>
        </w:rPr>
        <w:t xml:space="preserve">. </w:t>
      </w:r>
      <w:r w:rsidR="00F55F63">
        <w:rPr>
          <w:rFonts w:ascii="Calibri" w:hAnsi="Calibri"/>
          <w:sz w:val="22"/>
        </w:rPr>
        <w:t xml:space="preserve">Cleaned </w:t>
      </w:r>
      <w:r w:rsidR="006C74A5">
        <w:rPr>
          <w:rFonts w:ascii="Calibri" w:hAnsi="Calibri"/>
          <w:sz w:val="22"/>
        </w:rPr>
        <w:t>data</w:t>
      </w:r>
      <w:r w:rsidR="00F55F63">
        <w:rPr>
          <w:rFonts w:ascii="Calibri" w:hAnsi="Calibri"/>
          <w:sz w:val="22"/>
        </w:rPr>
        <w:t xml:space="preserve"> </w:t>
      </w:r>
      <w:r w:rsidR="006C74A5">
        <w:rPr>
          <w:rFonts w:ascii="Calibri" w:hAnsi="Calibri"/>
          <w:sz w:val="22"/>
        </w:rPr>
        <w:t xml:space="preserve">of each tissue </w:t>
      </w:r>
      <w:r w:rsidR="00F55F63">
        <w:rPr>
          <w:rFonts w:ascii="Calibri" w:hAnsi="Calibri"/>
          <w:sz w:val="22"/>
        </w:rPr>
        <w:t>w</w:t>
      </w:r>
      <w:r w:rsidR="006C74A5">
        <w:rPr>
          <w:rFonts w:ascii="Calibri" w:hAnsi="Calibri"/>
          <w:sz w:val="22"/>
        </w:rPr>
        <w:t>as</w:t>
      </w:r>
      <w:r w:rsidR="00F55F63">
        <w:rPr>
          <w:rFonts w:ascii="Calibri" w:hAnsi="Calibri"/>
          <w:sz w:val="22"/>
        </w:rPr>
        <w:t xml:space="preserve"> normalized </w:t>
      </w:r>
      <w:r w:rsidR="006C74A5">
        <w:rPr>
          <w:rFonts w:ascii="Calibri" w:hAnsi="Calibri"/>
          <w:sz w:val="22"/>
        </w:rPr>
        <w:t xml:space="preserve">using </w:t>
      </w:r>
      <w:r w:rsidR="00AD4E18">
        <w:rPr>
          <w:rFonts w:ascii="Calibri" w:hAnsi="Calibri"/>
          <w:sz w:val="22"/>
        </w:rPr>
        <w:t>TRINITY</w:t>
      </w:r>
      <w:r w:rsidR="00740DC3">
        <w:rPr>
          <w:rFonts w:ascii="Calibri" w:hAnsi="Calibri"/>
          <w:sz w:val="22"/>
        </w:rPr>
        <w:t xml:space="preserve"> </w:t>
      </w:r>
      <w:r w:rsidR="00740DC3" w:rsidRPr="00117BC8">
        <w:rPr>
          <w:rFonts w:ascii="Calibri" w:hAnsi="Calibri"/>
          <w:i/>
          <w:sz w:val="22"/>
        </w:rPr>
        <w:t>in silico</w:t>
      </w:r>
      <w:r w:rsidR="00740DC3" w:rsidRPr="00117BC8">
        <w:rPr>
          <w:rFonts w:ascii="Calibri" w:hAnsi="Calibri"/>
          <w:sz w:val="22"/>
        </w:rPr>
        <w:t xml:space="preserve"> </w:t>
      </w:r>
      <w:r w:rsidR="00740DC3" w:rsidRPr="00740DC3">
        <w:rPr>
          <w:rFonts w:ascii="Calibri" w:hAnsi="Calibri"/>
          <w:i/>
          <w:sz w:val="22"/>
        </w:rPr>
        <w:t>normalization</w:t>
      </w:r>
      <w:r w:rsidR="00AD4E18">
        <w:rPr>
          <w:rFonts w:ascii="Calibri" w:hAnsi="Calibri"/>
          <w:sz w:val="22"/>
        </w:rPr>
        <w:t xml:space="preserve"> </w:t>
      </w:r>
      <w:r w:rsidR="006C74A5">
        <w:rPr>
          <w:rFonts w:ascii="Calibri" w:hAnsi="Calibri"/>
          <w:sz w:val="22"/>
        </w:rPr>
        <w:fldChar w:fldCharType="begin" w:fldLock="1"/>
      </w:r>
      <w:r w:rsidR="0022539C">
        <w:rPr>
          <w:rFonts w:ascii="Calibri" w:hAnsi="Calibri"/>
          <w:sz w:val="22"/>
        </w:rPr>
        <w:instrText>ADDIN CSL_CITATION { "citationItems" : [ { "id" : "ITEM-1", "itemData" : { "DOI" : "10.1038/nbt.1883", "ISBN" : "1546-1696 (Electronic)\\r1087-0156 (Linking)", "ISSN" : "1546-1696", "PMID" : "21572440", "abstract" : "Massively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 ] }, "page" : "644-52", "title" : "Full-length transcriptome assembly from RNA-Seq data without a reference genome.", "type" : "article-journal", "volume" : "29" }, "uris" : [ "http://www.mendeley.com/documents/?uuid=33a769ea-6b00-4de2-a20a-6053ba072370" ] } ], "mendeley" : { "formattedCitation" : "(Grabherr &lt;i&gt;et al.&lt;/i&gt; 2011)", "plainTextFormattedCitation" : "(Grabherr et al. 2011)", "previouslyFormattedCitation" : "(Grabherr &lt;i&gt;et al.&lt;/i&gt; 2011)" }, "properties" : { "noteIndex" : 0 }, "schema" : "https://github.com/citation-style-language/schema/raw/master/csl-citation.json" }</w:instrText>
      </w:r>
      <w:r w:rsidR="006C74A5">
        <w:rPr>
          <w:rFonts w:ascii="Calibri" w:hAnsi="Calibri"/>
          <w:sz w:val="22"/>
        </w:rPr>
        <w:fldChar w:fldCharType="separate"/>
      </w:r>
      <w:r w:rsidR="006C74A5" w:rsidRPr="006C74A5">
        <w:rPr>
          <w:rFonts w:ascii="Calibri" w:hAnsi="Calibri"/>
          <w:noProof/>
          <w:sz w:val="22"/>
        </w:rPr>
        <w:t xml:space="preserve">(Grabherr </w:t>
      </w:r>
      <w:r w:rsidR="006C74A5" w:rsidRPr="006C74A5">
        <w:rPr>
          <w:rFonts w:ascii="Calibri" w:hAnsi="Calibri"/>
          <w:i/>
          <w:noProof/>
          <w:sz w:val="22"/>
        </w:rPr>
        <w:t>et al.</w:t>
      </w:r>
      <w:r w:rsidR="006C74A5" w:rsidRPr="006C74A5">
        <w:rPr>
          <w:rFonts w:ascii="Calibri" w:hAnsi="Calibri"/>
          <w:noProof/>
          <w:sz w:val="22"/>
        </w:rPr>
        <w:t xml:space="preserve"> 2011)</w:t>
      </w:r>
      <w:r w:rsidR="006C74A5">
        <w:rPr>
          <w:rFonts w:ascii="Calibri" w:hAnsi="Calibri"/>
          <w:sz w:val="22"/>
        </w:rPr>
        <w:fldChar w:fldCharType="end"/>
      </w:r>
      <w:r w:rsidR="006C74A5">
        <w:rPr>
          <w:rFonts w:ascii="Calibri" w:hAnsi="Calibri"/>
          <w:sz w:val="22"/>
        </w:rPr>
        <w:t xml:space="preserve"> to remove l</w:t>
      </w:r>
      <w:r w:rsidR="00F55F63" w:rsidRPr="00F55F63">
        <w:rPr>
          <w:rFonts w:ascii="Calibri" w:hAnsi="Calibri"/>
          <w:sz w:val="22"/>
        </w:rPr>
        <w:t>arge excess of reads corresponding to moderately and highly expressed transcripts</w:t>
      </w:r>
      <w:r w:rsidR="006C74A5">
        <w:rPr>
          <w:rFonts w:ascii="Calibri" w:hAnsi="Calibri"/>
          <w:sz w:val="22"/>
        </w:rPr>
        <w:t xml:space="preserve">. </w:t>
      </w:r>
      <w:r w:rsidR="00787102">
        <w:rPr>
          <w:rFonts w:ascii="Calibri" w:hAnsi="Calibri"/>
          <w:sz w:val="22"/>
        </w:rPr>
        <w:t xml:space="preserve">The resulting data was merged and normalized again prior to assembly. De-novo transcriptome assembly of reads was done using </w:t>
      </w:r>
      <w:r w:rsidR="00AD4E18">
        <w:rPr>
          <w:rFonts w:ascii="Calibri" w:hAnsi="Calibri"/>
          <w:sz w:val="22"/>
        </w:rPr>
        <w:t xml:space="preserve">TRINITY </w:t>
      </w:r>
      <w:r w:rsidR="00787102">
        <w:rPr>
          <w:rFonts w:ascii="Calibri" w:hAnsi="Calibri"/>
          <w:sz w:val="22"/>
        </w:rPr>
        <w:fldChar w:fldCharType="begin" w:fldLock="1"/>
      </w:r>
      <w:r w:rsidR="0022539C">
        <w:rPr>
          <w:rFonts w:ascii="Calibri" w:hAnsi="Calibri"/>
          <w:sz w:val="22"/>
        </w:rPr>
        <w:instrText>ADDIN CSL_CITATION { "citationItems" : [ { "id" : "ITEM-1", "itemData" : { "DOI" : "10.1038/nbt.1883", "ISBN" : "1546-1696 (Electronic)\\r1087-0156 (Linking)", "ISSN" : "1546-1696", "PMID" : "21572440", "abstract" : "Massively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 ] }, "page" : "644-52", "title" : "Full-length transcriptome assembly from RNA-Seq data without a reference genome.", "type" : "article-journal", "volume" : "29" }, "uris" : [ "http://www.mendeley.com/documents/?uuid=33a769ea-6b00-4de2-a20a-6053ba072370" ] } ], "mendeley" : { "formattedCitation" : "(Grabherr &lt;i&gt;et al.&lt;/i&gt; 2011)", "plainTextFormattedCitation" : "(Grabherr et al. 2011)", "previouslyFormattedCitation" : "(Grabherr &lt;i&gt;et al.&lt;/i&gt; 2011)" }, "properties" : { "noteIndex" : 0 }, "schema" : "https://github.com/citation-style-language/schema/raw/master/csl-citation.json" }</w:instrText>
      </w:r>
      <w:r w:rsidR="00787102">
        <w:rPr>
          <w:rFonts w:ascii="Calibri" w:hAnsi="Calibri"/>
          <w:sz w:val="22"/>
        </w:rPr>
        <w:fldChar w:fldCharType="separate"/>
      </w:r>
      <w:r w:rsidR="00787102" w:rsidRPr="006C74A5">
        <w:rPr>
          <w:rFonts w:ascii="Calibri" w:hAnsi="Calibri"/>
          <w:noProof/>
          <w:sz w:val="22"/>
        </w:rPr>
        <w:t xml:space="preserve">(Grabherr </w:t>
      </w:r>
      <w:r w:rsidR="00787102" w:rsidRPr="006C74A5">
        <w:rPr>
          <w:rFonts w:ascii="Calibri" w:hAnsi="Calibri"/>
          <w:i/>
          <w:noProof/>
          <w:sz w:val="22"/>
        </w:rPr>
        <w:t>et al.</w:t>
      </w:r>
      <w:r w:rsidR="00787102" w:rsidRPr="006C74A5">
        <w:rPr>
          <w:rFonts w:ascii="Calibri" w:hAnsi="Calibri"/>
          <w:noProof/>
          <w:sz w:val="22"/>
        </w:rPr>
        <w:t xml:space="preserve"> 2011)</w:t>
      </w:r>
      <w:r w:rsidR="00787102">
        <w:rPr>
          <w:rFonts w:ascii="Calibri" w:hAnsi="Calibri"/>
          <w:sz w:val="22"/>
        </w:rPr>
        <w:fldChar w:fldCharType="end"/>
      </w:r>
      <w:r w:rsidR="00AD4E18">
        <w:rPr>
          <w:rFonts w:ascii="Calibri" w:hAnsi="Calibri"/>
          <w:sz w:val="22"/>
        </w:rPr>
        <w:t xml:space="preserve"> and annotated with TRINOTATE (</w:t>
      </w:r>
      <w:hyperlink r:id="rId5" w:history="1">
        <w:r w:rsidR="00AD4E18" w:rsidRPr="00645293">
          <w:rPr>
            <w:rStyle w:val="Hipervnculo"/>
            <w:rFonts w:ascii="Calibri" w:hAnsi="Calibri"/>
            <w:sz w:val="22"/>
          </w:rPr>
          <w:t>https://trinotate.github.io/</w:t>
        </w:r>
      </w:hyperlink>
      <w:r w:rsidR="00AD4E18">
        <w:rPr>
          <w:rFonts w:ascii="Calibri" w:hAnsi="Calibri"/>
          <w:sz w:val="22"/>
        </w:rPr>
        <w:t>)</w:t>
      </w:r>
      <w:r w:rsidR="00787102">
        <w:rPr>
          <w:rFonts w:ascii="Calibri" w:hAnsi="Calibri"/>
          <w:sz w:val="22"/>
        </w:rPr>
        <w:t>.</w:t>
      </w:r>
      <w:r w:rsidR="00AD4E18">
        <w:rPr>
          <w:rFonts w:ascii="Calibri" w:hAnsi="Calibri"/>
          <w:sz w:val="22"/>
        </w:rPr>
        <w:t xml:space="preserve"> </w:t>
      </w:r>
      <w:r w:rsidR="00FB2FFF">
        <w:rPr>
          <w:rFonts w:ascii="Calibri" w:hAnsi="Calibri"/>
          <w:sz w:val="22"/>
        </w:rPr>
        <w:t>A total of 422</w:t>
      </w:r>
      <w:r w:rsidR="008E5598">
        <w:rPr>
          <w:rFonts w:ascii="Calibri" w:hAnsi="Calibri"/>
          <w:sz w:val="22"/>
        </w:rPr>
        <w:t>,</w:t>
      </w:r>
      <w:r w:rsidR="00FB2FFF">
        <w:rPr>
          <w:rFonts w:ascii="Calibri" w:hAnsi="Calibri"/>
          <w:sz w:val="22"/>
        </w:rPr>
        <w:t>999 putative genes were obtained after assembly. Of those, 45</w:t>
      </w:r>
      <w:r w:rsidR="008E5598">
        <w:rPr>
          <w:rFonts w:ascii="Calibri" w:hAnsi="Calibri"/>
          <w:sz w:val="22"/>
        </w:rPr>
        <w:t>,</w:t>
      </w:r>
      <w:r w:rsidR="00FB2FFF">
        <w:rPr>
          <w:rFonts w:ascii="Calibri" w:hAnsi="Calibri"/>
          <w:sz w:val="22"/>
        </w:rPr>
        <w:t xml:space="preserve">885 transcripts had gene ontology (GO) significant matches. </w:t>
      </w:r>
      <w:r w:rsidR="00BD3907">
        <w:rPr>
          <w:rFonts w:ascii="Calibri" w:hAnsi="Calibri"/>
          <w:sz w:val="22"/>
        </w:rPr>
        <w:t xml:space="preserve">The annotated transcript is available on </w:t>
      </w:r>
      <w:r w:rsidR="00BD3907" w:rsidRPr="00BD3907">
        <w:rPr>
          <w:rFonts w:ascii="Calibri" w:hAnsi="Calibri"/>
          <w:sz w:val="22"/>
        </w:rPr>
        <w:t>DRYAD</w:t>
      </w:r>
      <w:r w:rsidR="00BD3907">
        <w:rPr>
          <w:rFonts w:ascii="Calibri" w:hAnsi="Calibri"/>
          <w:sz w:val="22"/>
        </w:rPr>
        <w:t xml:space="preserve">: </w:t>
      </w:r>
      <w:r w:rsidR="00AD7569">
        <w:rPr>
          <w:rFonts w:ascii="Calibri" w:hAnsi="Calibri"/>
          <w:sz w:val="22"/>
        </w:rPr>
        <w:t>XXX</w:t>
      </w:r>
      <w:r w:rsidR="00BD3907">
        <w:rPr>
          <w:rFonts w:ascii="Calibri" w:hAnsi="Calibri"/>
          <w:sz w:val="22"/>
        </w:rPr>
        <w:t>.</w:t>
      </w:r>
    </w:p>
    <w:p w14:paraId="14FB3AFC" w14:textId="77777777" w:rsidR="00200F95" w:rsidRDefault="00200F95" w:rsidP="000D0291">
      <w:pPr>
        <w:jc w:val="both"/>
        <w:rPr>
          <w:rFonts w:ascii="Calibri" w:hAnsi="Calibri"/>
          <w:sz w:val="22"/>
        </w:rPr>
      </w:pPr>
    </w:p>
    <w:p w14:paraId="0512826F" w14:textId="2A82BAE9" w:rsidR="00200F95" w:rsidRPr="004D260D" w:rsidRDefault="004D260D" w:rsidP="000D0291">
      <w:pPr>
        <w:jc w:val="both"/>
        <w:rPr>
          <w:rFonts w:ascii="Calibri" w:hAnsi="Calibri"/>
          <w:b/>
          <w:sz w:val="22"/>
        </w:rPr>
      </w:pPr>
      <w:r w:rsidRPr="004D260D">
        <w:rPr>
          <w:rFonts w:ascii="Calibri" w:hAnsi="Calibri"/>
          <w:b/>
          <w:sz w:val="22"/>
        </w:rPr>
        <w:t>Sequence capture probe design</w:t>
      </w:r>
    </w:p>
    <w:p w14:paraId="3B72286E" w14:textId="77777777" w:rsidR="00F55F63" w:rsidRDefault="00F55F63" w:rsidP="000D0291">
      <w:pPr>
        <w:jc w:val="both"/>
        <w:rPr>
          <w:rFonts w:ascii="Calibri" w:hAnsi="Calibri"/>
          <w:sz w:val="22"/>
        </w:rPr>
      </w:pPr>
    </w:p>
    <w:p w14:paraId="39D20A77" w14:textId="56E0E466" w:rsidR="00CB578C" w:rsidRDefault="0022539C" w:rsidP="000D0291">
      <w:pPr>
        <w:jc w:val="both"/>
        <w:rPr>
          <w:rFonts w:ascii="Calibri" w:hAnsi="Calibri"/>
          <w:sz w:val="22"/>
        </w:rPr>
      </w:pPr>
      <w:r>
        <w:rPr>
          <w:rFonts w:ascii="Calibri" w:hAnsi="Calibri"/>
          <w:sz w:val="22"/>
        </w:rPr>
        <w:t>The a</w:t>
      </w:r>
      <w:r w:rsidR="00FB2FFF">
        <w:rPr>
          <w:rFonts w:ascii="Calibri" w:hAnsi="Calibri"/>
          <w:sz w:val="22"/>
        </w:rPr>
        <w:t xml:space="preserve">nnotated </w:t>
      </w:r>
      <w:r>
        <w:rPr>
          <w:rFonts w:ascii="Calibri" w:hAnsi="Calibri"/>
          <w:sz w:val="22"/>
        </w:rPr>
        <w:t>set of transcripts was</w:t>
      </w:r>
      <w:r w:rsidR="00FB2FFF">
        <w:rPr>
          <w:rFonts w:ascii="Calibri" w:hAnsi="Calibri"/>
          <w:sz w:val="22"/>
        </w:rPr>
        <w:t xml:space="preserve"> filtered </w:t>
      </w:r>
      <w:r>
        <w:rPr>
          <w:rFonts w:ascii="Calibri" w:hAnsi="Calibri"/>
          <w:sz w:val="22"/>
        </w:rPr>
        <w:t xml:space="preserve">prior to bait design following </w:t>
      </w:r>
      <w:r>
        <w:rPr>
          <w:rFonts w:ascii="Calibri" w:hAnsi="Calibri"/>
          <w:sz w:val="22"/>
        </w:rPr>
        <w:fldChar w:fldCharType="begin" w:fldLock="1"/>
      </w:r>
      <w:r w:rsidR="00CE0067">
        <w:rPr>
          <w:rFonts w:ascii="Calibri" w:hAnsi="Calibri"/>
          <w:sz w:val="22"/>
        </w:rPr>
        <w:instrText>ADDIN CSL_CITATION { "citationItems" : [ { "id" : "ITEM-1", "itemData" : { "DOI" : "10.1111/1755-0998.12541", "ISBN" : "2012203566", "ISSN" : "17550998", "PMID" : "27241806", "abstract" : "Custom sequence capture experiments are becoming an efficient approach for gathering large sets of orthologous markers in non-model organisms. Transcriptome-based exon capture utilizes transcript sequences to design capture probes, typically using a reference genome to identify intron-exon boundaries to exclude shorter exons (&lt; 200 bp). Here, we test directly using transcript sequences for probe design, which are often composed of multiple exons of varying lengths. Using 1,260 orthologous transcripts, we conducted sequence captures across multiple phylogenetic scales for frogs, including outgroups ~100 million years divergent from the ingroup. We recovered a large phylogenomic data set consisting of sequence alignments for 1,047 of the 1,260 transcriptome-based loci (~561,000 bp) and a large quantity of highly variable regions flanking the exons in transcripts (~70,000 bp), the latter improving substantially by only including ingroup species (~797,000 bp). We recovered both shorter (&lt; 100 bp) and longer exons (&gt; 200 bp), with no major reduction in coverage towards the ends of exons. We observed significant differences in the performance of blocking oligos for target enrichment and non-target depletion during captures, and differences in PCR duplication rates resulting from the number of individuals pooled for capture reactions. We explicitly tested the effects of phylogenetic distance on capture sensitivity, specificity, and missing data, and provide a baseline estimate of expectations for these metrics based on a priori knowledge of nuclear pairwise differences among samples. We provide recommendations for transcriptome-based exon capture design based on our results, cost estimates, and offer multiple pipelines for data assembly and analysis. This article is protected by copyright. All rights reserved.", "author" : [ { "dropping-particle" : "", "family" : "Portik", "given" : "Daniel M.", "non-dropping-particle" : "", "parse-names" : false, "suffix" : "" }, { "dropping-particle" : "", "family" : "Smith", "given" : "Lydia L.", "non-dropping-particle" : "", "parse-names" : false, "suffix" : "" }, { "dropping-particle" : "", "family" : "Bi", "given" : "Ke", "non-dropping-particle" : "", "parse-names" : false, "suffix" : "" } ], "container-title" : "Molecular Ecology Resources", "id" : "ITEM-1", "issue" : "5", "issued" : { "date-parts" : [ [ "2016" ] ] }, "page" : "1069-1083", "title" : "An evaluation of transcriptome-based exon capture for frog phylogenomics across multiple scales of divergence (Class: Amphibia, Order: Anura)", "type" : "article-journal", "volume" : "16" }, "uris" : [ "http://www.mendeley.com/documents/?uuid=e2d9097d-ac2b-4310-8c71-30e8835dbf15" ] } ], "mendeley" : { "formattedCitation" : "(Portik &lt;i&gt;et al.&lt;/i&gt; 2016)", "manualFormatting" : "Portik et al. (2016)", "plainTextFormattedCitation" : "(Portik et al. 2016)", "previouslyFormattedCitation" : "(Portik &lt;i&gt;et al.&lt;/i&gt; 2016)" }, "properties" : { "noteIndex" : 0 }, "schema" : "https://github.com/citation-style-language/schema/raw/master/csl-citation.json" }</w:instrText>
      </w:r>
      <w:r>
        <w:rPr>
          <w:rFonts w:ascii="Calibri" w:hAnsi="Calibri"/>
          <w:sz w:val="22"/>
        </w:rPr>
        <w:fldChar w:fldCharType="separate"/>
      </w:r>
      <w:r w:rsidRPr="0022539C">
        <w:rPr>
          <w:rFonts w:ascii="Calibri" w:hAnsi="Calibri"/>
          <w:noProof/>
          <w:sz w:val="22"/>
        </w:rPr>
        <w:t xml:space="preserve">Portik </w:t>
      </w:r>
      <w:r w:rsidRPr="0022539C">
        <w:rPr>
          <w:rFonts w:ascii="Calibri" w:hAnsi="Calibri"/>
          <w:i/>
          <w:noProof/>
          <w:sz w:val="22"/>
        </w:rPr>
        <w:t>et al.</w:t>
      </w:r>
      <w:r w:rsidRPr="0022539C">
        <w:rPr>
          <w:rFonts w:ascii="Calibri" w:hAnsi="Calibri"/>
          <w:noProof/>
          <w:sz w:val="22"/>
        </w:rPr>
        <w:t xml:space="preserve"> </w:t>
      </w:r>
      <w:r>
        <w:rPr>
          <w:rFonts w:ascii="Calibri" w:hAnsi="Calibri"/>
          <w:noProof/>
          <w:sz w:val="22"/>
        </w:rPr>
        <w:t>(</w:t>
      </w:r>
      <w:r w:rsidRPr="0022539C">
        <w:rPr>
          <w:rFonts w:ascii="Calibri" w:hAnsi="Calibri"/>
          <w:noProof/>
          <w:sz w:val="22"/>
        </w:rPr>
        <w:t>2016)</w:t>
      </w:r>
      <w:r>
        <w:rPr>
          <w:rFonts w:ascii="Calibri" w:hAnsi="Calibri"/>
          <w:sz w:val="22"/>
        </w:rPr>
        <w:fldChar w:fldCharType="end"/>
      </w:r>
      <w:r>
        <w:rPr>
          <w:rFonts w:ascii="Calibri" w:hAnsi="Calibri"/>
          <w:sz w:val="22"/>
        </w:rPr>
        <w:t xml:space="preserve">. </w:t>
      </w:r>
      <w:r w:rsidR="00B36900">
        <w:rPr>
          <w:rFonts w:ascii="Calibri" w:hAnsi="Calibri"/>
          <w:sz w:val="22"/>
        </w:rPr>
        <w:t>In brief, we first kept transcripts with a GC content between 40% and 60%</w:t>
      </w:r>
      <w:r w:rsidR="005C2412">
        <w:rPr>
          <w:rFonts w:ascii="Calibri" w:hAnsi="Calibri"/>
          <w:sz w:val="22"/>
        </w:rPr>
        <w:t xml:space="preserve"> (</w:t>
      </w:r>
      <w:r w:rsidR="005C2412" w:rsidRPr="005C2412">
        <w:rPr>
          <w:rFonts w:ascii="Calibri" w:hAnsi="Calibri"/>
          <w:sz w:val="22"/>
        </w:rPr>
        <w:t>40</w:t>
      </w:r>
      <w:r w:rsidR="008E5598">
        <w:rPr>
          <w:rFonts w:ascii="Calibri" w:hAnsi="Calibri"/>
          <w:sz w:val="22"/>
        </w:rPr>
        <w:t>,</w:t>
      </w:r>
      <w:r w:rsidR="005C2412" w:rsidRPr="005C2412">
        <w:rPr>
          <w:rFonts w:ascii="Calibri" w:hAnsi="Calibri"/>
          <w:sz w:val="22"/>
        </w:rPr>
        <w:t>362</w:t>
      </w:r>
      <w:r w:rsidR="005C2412">
        <w:rPr>
          <w:rFonts w:ascii="Calibri" w:hAnsi="Calibri"/>
          <w:sz w:val="22"/>
        </w:rPr>
        <w:t xml:space="preserve"> transcripts)</w:t>
      </w:r>
      <w:r w:rsidR="00B36900">
        <w:rPr>
          <w:rFonts w:ascii="Calibri" w:hAnsi="Calibri"/>
          <w:sz w:val="22"/>
        </w:rPr>
        <w:t>. Then, we kept transcripts that are 500-850bp in length</w:t>
      </w:r>
      <w:r w:rsidR="005C2412">
        <w:rPr>
          <w:rFonts w:ascii="Calibri" w:hAnsi="Calibri"/>
          <w:sz w:val="22"/>
        </w:rPr>
        <w:t xml:space="preserve"> (</w:t>
      </w:r>
      <w:r w:rsidR="005C2412" w:rsidRPr="005C2412">
        <w:rPr>
          <w:rFonts w:ascii="Calibri" w:hAnsi="Calibri"/>
          <w:sz w:val="22"/>
        </w:rPr>
        <w:t>21</w:t>
      </w:r>
      <w:r w:rsidR="005476E2">
        <w:rPr>
          <w:rFonts w:ascii="Calibri" w:hAnsi="Calibri"/>
          <w:sz w:val="22"/>
        </w:rPr>
        <w:t>,</w:t>
      </w:r>
      <w:r w:rsidR="005C2412" w:rsidRPr="005C2412">
        <w:rPr>
          <w:rFonts w:ascii="Calibri" w:hAnsi="Calibri"/>
          <w:sz w:val="22"/>
        </w:rPr>
        <w:t>396</w:t>
      </w:r>
      <w:r w:rsidR="005C2412">
        <w:rPr>
          <w:rFonts w:ascii="Calibri" w:hAnsi="Calibri"/>
          <w:sz w:val="22"/>
        </w:rPr>
        <w:t>)</w:t>
      </w:r>
      <w:r w:rsidR="00B36900" w:rsidRPr="00B36900">
        <w:rPr>
          <w:rFonts w:ascii="Calibri" w:hAnsi="Calibri"/>
          <w:sz w:val="22"/>
        </w:rPr>
        <w:t xml:space="preserve">. </w:t>
      </w:r>
      <w:r w:rsidR="00B36900">
        <w:rPr>
          <w:rFonts w:ascii="Calibri" w:hAnsi="Calibri"/>
          <w:sz w:val="22"/>
        </w:rPr>
        <w:t>Transcripts were trimmed to 850</w:t>
      </w:r>
      <w:r w:rsidR="00B36900" w:rsidRPr="00B36900">
        <w:rPr>
          <w:rFonts w:ascii="Calibri" w:hAnsi="Calibri"/>
          <w:sz w:val="22"/>
        </w:rPr>
        <w:t>bp if they were longer.</w:t>
      </w:r>
      <w:r w:rsidR="00B36900">
        <w:rPr>
          <w:rFonts w:ascii="Calibri" w:hAnsi="Calibri"/>
          <w:sz w:val="22"/>
        </w:rPr>
        <w:t xml:space="preserve"> Finally,</w:t>
      </w:r>
      <w:r w:rsidR="005C2412">
        <w:rPr>
          <w:rFonts w:ascii="Calibri" w:hAnsi="Calibri"/>
          <w:sz w:val="22"/>
        </w:rPr>
        <w:t xml:space="preserve"> we used </w:t>
      </w:r>
      <w:r w:rsidR="005C2412" w:rsidRPr="005C2412">
        <w:rPr>
          <w:rFonts w:ascii="Calibri" w:hAnsi="Calibri"/>
          <w:sz w:val="22"/>
        </w:rPr>
        <w:t xml:space="preserve">REPEATMASKER </w:t>
      </w:r>
      <w:r w:rsidR="005C2412">
        <w:rPr>
          <w:rFonts w:ascii="Calibri" w:hAnsi="Calibri"/>
          <w:sz w:val="22"/>
        </w:rPr>
        <w:t>(</w:t>
      </w:r>
      <w:hyperlink r:id="rId6" w:history="1">
        <w:r w:rsidR="005C2412" w:rsidRPr="00645293">
          <w:rPr>
            <w:rStyle w:val="Hipervnculo"/>
            <w:rFonts w:ascii="Calibri" w:hAnsi="Calibri"/>
            <w:sz w:val="22"/>
          </w:rPr>
          <w:t>http://www.repeatmasker.org/</w:t>
        </w:r>
      </w:hyperlink>
      <w:r w:rsidR="005C2412">
        <w:rPr>
          <w:rFonts w:ascii="Calibri" w:hAnsi="Calibri"/>
          <w:sz w:val="22"/>
        </w:rPr>
        <w:t xml:space="preserve">) to remove </w:t>
      </w:r>
      <w:r w:rsidR="005C2412" w:rsidRPr="005C2412">
        <w:rPr>
          <w:rFonts w:ascii="Calibri" w:hAnsi="Calibri"/>
          <w:sz w:val="22"/>
        </w:rPr>
        <w:t>repetitive elements or low complexity regions</w:t>
      </w:r>
      <w:r w:rsidR="009C5D7C">
        <w:rPr>
          <w:rFonts w:ascii="Calibri" w:hAnsi="Calibri"/>
          <w:sz w:val="22"/>
        </w:rPr>
        <w:t xml:space="preserve"> (we used ‘vertebrata </w:t>
      </w:r>
      <w:proofErr w:type="spellStart"/>
      <w:r w:rsidR="009C5D7C">
        <w:rPr>
          <w:rFonts w:ascii="Calibri" w:hAnsi="Calibri"/>
          <w:sz w:val="22"/>
        </w:rPr>
        <w:t>metazoa</w:t>
      </w:r>
      <w:proofErr w:type="spellEnd"/>
      <w:r w:rsidR="009C5D7C">
        <w:rPr>
          <w:rFonts w:ascii="Calibri" w:hAnsi="Calibri"/>
          <w:sz w:val="22"/>
        </w:rPr>
        <w:t>’</w:t>
      </w:r>
      <w:r w:rsidR="009C5D7C" w:rsidRPr="009C5D7C">
        <w:rPr>
          <w:rFonts w:ascii="Calibri" w:hAnsi="Calibri"/>
          <w:sz w:val="22"/>
        </w:rPr>
        <w:t xml:space="preserve"> as database and </w:t>
      </w:r>
      <w:r w:rsidR="009C5D7C">
        <w:rPr>
          <w:rFonts w:ascii="Calibri" w:hAnsi="Calibri"/>
          <w:sz w:val="22"/>
        </w:rPr>
        <w:t>‘</w:t>
      </w:r>
      <w:proofErr w:type="spellStart"/>
      <w:r w:rsidR="009C5D7C" w:rsidRPr="009C5D7C">
        <w:rPr>
          <w:rFonts w:ascii="Calibri" w:hAnsi="Calibri"/>
          <w:sz w:val="22"/>
        </w:rPr>
        <w:t>cross_match</w:t>
      </w:r>
      <w:proofErr w:type="spellEnd"/>
      <w:r w:rsidR="009C5D7C">
        <w:rPr>
          <w:rFonts w:ascii="Calibri" w:hAnsi="Calibri"/>
          <w:sz w:val="22"/>
        </w:rPr>
        <w:t>’ as search engine)</w:t>
      </w:r>
      <w:r w:rsidR="005C2412">
        <w:rPr>
          <w:rFonts w:ascii="Calibri" w:hAnsi="Calibri"/>
          <w:sz w:val="22"/>
        </w:rPr>
        <w:t xml:space="preserve">. This resulted in a set of </w:t>
      </w:r>
      <w:r w:rsidR="005C2412" w:rsidRPr="005C2412">
        <w:rPr>
          <w:rFonts w:ascii="Calibri" w:hAnsi="Calibri"/>
          <w:sz w:val="22"/>
        </w:rPr>
        <w:t>18</w:t>
      </w:r>
      <w:r w:rsidR="00CF5FF8">
        <w:rPr>
          <w:rFonts w:ascii="Calibri" w:hAnsi="Calibri"/>
          <w:sz w:val="22"/>
        </w:rPr>
        <w:t>,</w:t>
      </w:r>
      <w:r w:rsidR="005C2412" w:rsidRPr="005C2412">
        <w:rPr>
          <w:rFonts w:ascii="Calibri" w:hAnsi="Calibri"/>
          <w:sz w:val="22"/>
        </w:rPr>
        <w:t>127</w:t>
      </w:r>
      <w:r w:rsidR="005C2412">
        <w:rPr>
          <w:rFonts w:ascii="Calibri" w:hAnsi="Calibri"/>
          <w:sz w:val="22"/>
        </w:rPr>
        <w:t xml:space="preserve"> </w:t>
      </w:r>
      <w:r w:rsidR="00A96080">
        <w:rPr>
          <w:rFonts w:ascii="Calibri" w:hAnsi="Calibri"/>
          <w:sz w:val="22"/>
        </w:rPr>
        <w:t xml:space="preserve">transcripts, </w:t>
      </w:r>
      <w:r w:rsidR="00A96080" w:rsidRPr="005C2412">
        <w:rPr>
          <w:rFonts w:ascii="Calibri" w:hAnsi="Calibri"/>
          <w:sz w:val="22"/>
        </w:rPr>
        <w:t>ranging from 500-850bp</w:t>
      </w:r>
      <w:r w:rsidR="00A96080">
        <w:rPr>
          <w:rFonts w:ascii="Calibri" w:hAnsi="Calibri"/>
          <w:sz w:val="22"/>
        </w:rPr>
        <w:t xml:space="preserve">, </w:t>
      </w:r>
      <w:r w:rsidR="005C2412" w:rsidRPr="005C2412">
        <w:rPr>
          <w:rFonts w:ascii="Calibri" w:hAnsi="Calibri"/>
          <w:sz w:val="22"/>
        </w:rPr>
        <w:t>of which 17</w:t>
      </w:r>
      <w:r w:rsidR="008E5598">
        <w:rPr>
          <w:rFonts w:ascii="Calibri" w:hAnsi="Calibri"/>
          <w:sz w:val="22"/>
        </w:rPr>
        <w:t>,</w:t>
      </w:r>
      <w:r w:rsidR="005C2412" w:rsidRPr="005C2412">
        <w:rPr>
          <w:rFonts w:ascii="Calibri" w:hAnsi="Calibri"/>
          <w:sz w:val="22"/>
        </w:rPr>
        <w:t xml:space="preserve">879 </w:t>
      </w:r>
      <w:r w:rsidR="00A96080">
        <w:rPr>
          <w:rFonts w:ascii="Calibri" w:hAnsi="Calibri"/>
          <w:sz w:val="22"/>
        </w:rPr>
        <w:t>were unique (based on sequence)</w:t>
      </w:r>
      <w:r w:rsidR="005C2412" w:rsidRPr="005C2412">
        <w:rPr>
          <w:rFonts w:ascii="Calibri" w:hAnsi="Calibri"/>
          <w:sz w:val="22"/>
        </w:rPr>
        <w:t xml:space="preserve"> with a total length of 14,368,067bp.</w:t>
      </w:r>
      <w:r w:rsidR="00AD7569">
        <w:rPr>
          <w:rFonts w:ascii="Calibri" w:hAnsi="Calibri"/>
          <w:sz w:val="22"/>
        </w:rPr>
        <w:t xml:space="preserve"> </w:t>
      </w:r>
      <w:r w:rsidR="00AD7569" w:rsidRPr="00AD7569">
        <w:rPr>
          <w:rFonts w:ascii="Calibri" w:hAnsi="Calibri"/>
          <w:sz w:val="22"/>
        </w:rPr>
        <w:t xml:space="preserve">A </w:t>
      </w:r>
      <w:r w:rsidR="008C3DAE">
        <w:rPr>
          <w:rFonts w:ascii="Calibri" w:hAnsi="Calibri"/>
          <w:sz w:val="22"/>
        </w:rPr>
        <w:t>FASTA</w:t>
      </w:r>
      <w:r w:rsidR="00AD7569" w:rsidRPr="00AD7569">
        <w:rPr>
          <w:rFonts w:ascii="Calibri" w:hAnsi="Calibri"/>
          <w:sz w:val="22"/>
        </w:rPr>
        <w:t xml:space="preserve"> file of the final marker set is available on</w:t>
      </w:r>
      <w:r w:rsidR="008E5598">
        <w:rPr>
          <w:rFonts w:ascii="Calibri" w:hAnsi="Calibri"/>
          <w:sz w:val="22"/>
        </w:rPr>
        <w:t>:</w:t>
      </w:r>
      <w:r w:rsidR="00AD7569">
        <w:rPr>
          <w:rFonts w:ascii="Calibri" w:hAnsi="Calibri"/>
          <w:sz w:val="22"/>
        </w:rPr>
        <w:t xml:space="preserve"> XXX.</w:t>
      </w:r>
      <w:r w:rsidR="008E5598">
        <w:rPr>
          <w:rFonts w:ascii="Calibri" w:hAnsi="Calibri"/>
          <w:sz w:val="22"/>
        </w:rPr>
        <w:t xml:space="preserve"> </w:t>
      </w:r>
      <w:r w:rsidR="00FD4C90" w:rsidRPr="00FD4C90">
        <w:rPr>
          <w:rFonts w:ascii="Calibri" w:hAnsi="Calibri"/>
          <w:sz w:val="22"/>
        </w:rPr>
        <w:t xml:space="preserve">The final filtered </w:t>
      </w:r>
      <w:r w:rsidR="00FD4C90">
        <w:rPr>
          <w:rFonts w:ascii="Calibri" w:hAnsi="Calibri"/>
          <w:sz w:val="22"/>
        </w:rPr>
        <w:t>data</w:t>
      </w:r>
      <w:r w:rsidR="00FD4C90" w:rsidRPr="00FD4C90">
        <w:rPr>
          <w:rFonts w:ascii="Calibri" w:hAnsi="Calibri"/>
          <w:sz w:val="22"/>
        </w:rPr>
        <w:t>set was used to design a MYbaits-</w:t>
      </w:r>
      <w:r w:rsidR="00FD4C90">
        <w:rPr>
          <w:rFonts w:ascii="Calibri" w:hAnsi="Calibri"/>
          <w:sz w:val="22"/>
        </w:rPr>
        <w:t>11</w:t>
      </w:r>
      <w:r w:rsidR="00FD4C90" w:rsidRPr="00FD4C90">
        <w:rPr>
          <w:rFonts w:ascii="Calibri" w:hAnsi="Calibri"/>
          <w:sz w:val="22"/>
        </w:rPr>
        <w:t xml:space="preserve"> cu</w:t>
      </w:r>
      <w:r w:rsidR="00FD4C90">
        <w:rPr>
          <w:rFonts w:ascii="Calibri" w:hAnsi="Calibri"/>
          <w:sz w:val="22"/>
        </w:rPr>
        <w:t>stom bait library (</w:t>
      </w:r>
      <w:proofErr w:type="spellStart"/>
      <w:r w:rsidR="00FD4C90">
        <w:rPr>
          <w:rFonts w:ascii="Calibri" w:hAnsi="Calibri"/>
          <w:sz w:val="22"/>
        </w:rPr>
        <w:t>MYcroarray</w:t>
      </w:r>
      <w:proofErr w:type="spellEnd"/>
      <w:r w:rsidR="00FD4C90">
        <w:rPr>
          <w:rFonts w:ascii="Calibri" w:hAnsi="Calibri"/>
          <w:sz w:val="22"/>
        </w:rPr>
        <w:t xml:space="preserve">) </w:t>
      </w:r>
      <w:r w:rsidR="00FD4C90" w:rsidRPr="00FD4C90">
        <w:rPr>
          <w:rFonts w:ascii="Calibri" w:hAnsi="Calibri"/>
          <w:sz w:val="22"/>
        </w:rPr>
        <w:t xml:space="preserve">with </w:t>
      </w:r>
      <w:r w:rsidR="008E5598">
        <w:rPr>
          <w:rFonts w:ascii="Calibri" w:hAnsi="Calibri"/>
          <w:sz w:val="22"/>
        </w:rPr>
        <w:t>213,</w:t>
      </w:r>
      <w:r w:rsidR="008E5598" w:rsidRPr="008E5598">
        <w:rPr>
          <w:rFonts w:ascii="Calibri" w:hAnsi="Calibri"/>
          <w:sz w:val="22"/>
        </w:rPr>
        <w:t>879</w:t>
      </w:r>
      <w:r w:rsidR="008E5598">
        <w:rPr>
          <w:rFonts w:ascii="Calibri" w:hAnsi="Calibri"/>
          <w:sz w:val="22"/>
        </w:rPr>
        <w:t xml:space="preserve"> </w:t>
      </w:r>
      <w:r w:rsidR="00FD4C90" w:rsidRPr="00FD4C90">
        <w:rPr>
          <w:rFonts w:ascii="Calibri" w:hAnsi="Calibri"/>
          <w:sz w:val="22"/>
        </w:rPr>
        <w:t>unique probe sequences</w:t>
      </w:r>
      <w:r w:rsidR="00FD4C90">
        <w:rPr>
          <w:rFonts w:ascii="Calibri" w:hAnsi="Calibri"/>
          <w:sz w:val="22"/>
        </w:rPr>
        <w:t xml:space="preserve">. </w:t>
      </w:r>
      <w:r w:rsidR="00B3772F">
        <w:rPr>
          <w:rFonts w:ascii="Calibri" w:hAnsi="Calibri"/>
          <w:sz w:val="22"/>
        </w:rPr>
        <w:t xml:space="preserve">We selected </w:t>
      </w:r>
      <w:r w:rsidR="00B3772F" w:rsidRPr="00B3772F">
        <w:rPr>
          <w:rFonts w:ascii="Calibri" w:hAnsi="Calibri"/>
          <w:sz w:val="22"/>
        </w:rPr>
        <w:t>the longer</w:t>
      </w:r>
      <w:r w:rsidR="00B3772F">
        <w:rPr>
          <w:rFonts w:ascii="Calibri" w:hAnsi="Calibri"/>
          <w:sz w:val="22"/>
        </w:rPr>
        <w:t xml:space="preserve"> bait length (120nt)</w:t>
      </w:r>
      <w:r w:rsidR="00B3772F" w:rsidRPr="00B3772F">
        <w:rPr>
          <w:rFonts w:ascii="Calibri" w:hAnsi="Calibri"/>
          <w:sz w:val="22"/>
        </w:rPr>
        <w:t xml:space="preserve"> to maximizing capture of divergent sequences</w:t>
      </w:r>
      <w:r w:rsidR="00B3772F">
        <w:rPr>
          <w:rFonts w:ascii="Calibri" w:hAnsi="Calibri"/>
          <w:sz w:val="22"/>
        </w:rPr>
        <w:t xml:space="preserve">. </w:t>
      </w:r>
      <w:r w:rsidR="008E5598" w:rsidRPr="008E5598">
        <w:rPr>
          <w:rFonts w:ascii="Calibri" w:hAnsi="Calibri"/>
          <w:sz w:val="22"/>
        </w:rPr>
        <w:t>The probe design is av</w:t>
      </w:r>
      <w:r w:rsidR="008E5598">
        <w:rPr>
          <w:rFonts w:ascii="Calibri" w:hAnsi="Calibri"/>
          <w:sz w:val="22"/>
        </w:rPr>
        <w:t xml:space="preserve">ailable as a FASTA file on: XXX. </w:t>
      </w:r>
    </w:p>
    <w:p w14:paraId="1E4D8AD8" w14:textId="77777777" w:rsidR="00620E34" w:rsidRDefault="00620E34" w:rsidP="000D0291">
      <w:pPr>
        <w:jc w:val="both"/>
        <w:rPr>
          <w:rFonts w:ascii="Calibri" w:hAnsi="Calibri"/>
          <w:sz w:val="22"/>
        </w:rPr>
      </w:pPr>
    </w:p>
    <w:p w14:paraId="5C1D0367" w14:textId="77777777" w:rsidR="00620E34" w:rsidRDefault="00620E34" w:rsidP="000D0291">
      <w:pPr>
        <w:jc w:val="both"/>
        <w:rPr>
          <w:rFonts w:ascii="Calibri" w:hAnsi="Calibri"/>
          <w:b/>
        </w:rPr>
      </w:pPr>
    </w:p>
    <w:p w14:paraId="60186041" w14:textId="77777777" w:rsidR="00620E34" w:rsidRDefault="00620E34" w:rsidP="000D0291">
      <w:pPr>
        <w:jc w:val="both"/>
        <w:rPr>
          <w:rFonts w:ascii="Calibri" w:hAnsi="Calibri"/>
          <w:b/>
        </w:rPr>
      </w:pPr>
    </w:p>
    <w:p w14:paraId="223195A7" w14:textId="77777777" w:rsidR="00620E34" w:rsidRDefault="00620E34" w:rsidP="000D0291">
      <w:pPr>
        <w:jc w:val="both"/>
        <w:rPr>
          <w:rFonts w:ascii="Calibri" w:hAnsi="Calibri"/>
          <w:b/>
        </w:rPr>
      </w:pPr>
    </w:p>
    <w:p w14:paraId="6346DAB1" w14:textId="77777777" w:rsidR="00620E34" w:rsidRDefault="00620E34" w:rsidP="000D0291">
      <w:pPr>
        <w:jc w:val="both"/>
        <w:rPr>
          <w:rFonts w:ascii="Calibri" w:hAnsi="Calibri"/>
          <w:b/>
        </w:rPr>
      </w:pPr>
    </w:p>
    <w:p w14:paraId="3040ACE4" w14:textId="77777777" w:rsidR="00620E34" w:rsidRDefault="00620E34" w:rsidP="000D0291">
      <w:pPr>
        <w:jc w:val="both"/>
        <w:rPr>
          <w:rFonts w:ascii="Calibri" w:hAnsi="Calibri"/>
          <w:b/>
        </w:rPr>
      </w:pPr>
    </w:p>
    <w:p w14:paraId="198284FB" w14:textId="77777777" w:rsidR="00620E34" w:rsidRDefault="00620E34" w:rsidP="000D0291">
      <w:pPr>
        <w:jc w:val="both"/>
        <w:rPr>
          <w:rFonts w:ascii="Calibri" w:hAnsi="Calibri"/>
          <w:b/>
        </w:rPr>
      </w:pPr>
    </w:p>
    <w:p w14:paraId="1FD44614" w14:textId="2D913D4A" w:rsidR="00620E34" w:rsidRPr="00117BC8" w:rsidRDefault="00620E34" w:rsidP="000D0291">
      <w:pPr>
        <w:jc w:val="both"/>
        <w:rPr>
          <w:rFonts w:ascii="Calibri" w:hAnsi="Calibri"/>
          <w:b/>
        </w:rPr>
      </w:pPr>
      <w:r w:rsidRPr="00117BC8">
        <w:rPr>
          <w:rFonts w:ascii="Calibri" w:hAnsi="Calibri"/>
          <w:b/>
        </w:rPr>
        <w:lastRenderedPageBreak/>
        <w:t>Results</w:t>
      </w:r>
    </w:p>
    <w:p w14:paraId="37E9196C" w14:textId="77777777" w:rsidR="00620E34" w:rsidRDefault="00620E34" w:rsidP="000D0291">
      <w:pPr>
        <w:jc w:val="both"/>
        <w:rPr>
          <w:rFonts w:ascii="Calibri" w:hAnsi="Calibri"/>
          <w:b/>
        </w:rPr>
      </w:pPr>
    </w:p>
    <w:p w14:paraId="16241324" w14:textId="00FF16DC" w:rsidR="00A25261" w:rsidRPr="00A25261" w:rsidRDefault="00A25261" w:rsidP="000D0291">
      <w:pPr>
        <w:jc w:val="both"/>
        <w:rPr>
          <w:rFonts w:ascii="Calibri" w:hAnsi="Calibri"/>
          <w:b/>
          <w:sz w:val="22"/>
          <w:szCs w:val="22"/>
        </w:rPr>
      </w:pPr>
      <w:r w:rsidRPr="00A25261">
        <w:rPr>
          <w:rFonts w:ascii="Calibri" w:hAnsi="Calibri"/>
          <w:b/>
          <w:sz w:val="22"/>
          <w:szCs w:val="22"/>
        </w:rPr>
        <w:t>Transcriptome</w:t>
      </w:r>
    </w:p>
    <w:p w14:paraId="0A4BB9D0" w14:textId="77777777" w:rsidR="00A25261" w:rsidRPr="00117BC8" w:rsidRDefault="00A25261" w:rsidP="000D0291">
      <w:pPr>
        <w:jc w:val="both"/>
        <w:rPr>
          <w:rFonts w:ascii="Calibri" w:hAnsi="Calibri"/>
          <w:b/>
        </w:rPr>
      </w:pPr>
    </w:p>
    <w:p w14:paraId="14EBB850" w14:textId="1C00E7FC" w:rsidR="00117BC8" w:rsidRPr="00536BBA" w:rsidRDefault="00620E34" w:rsidP="00117BC8">
      <w:pPr>
        <w:jc w:val="both"/>
        <w:rPr>
          <w:rFonts w:ascii="Calibri" w:hAnsi="Calibri"/>
          <w:sz w:val="22"/>
        </w:rPr>
      </w:pPr>
      <w:r w:rsidRPr="00117BC8">
        <w:rPr>
          <w:rFonts w:ascii="Calibri" w:hAnsi="Calibri"/>
          <w:sz w:val="22"/>
        </w:rPr>
        <w:t>Illumina</w:t>
      </w:r>
      <w:r w:rsidR="007D6E0C" w:rsidRPr="00117BC8">
        <w:rPr>
          <w:rFonts w:ascii="Calibri" w:hAnsi="Calibri"/>
          <w:sz w:val="22"/>
        </w:rPr>
        <w:t xml:space="preserve"> transcriptome</w:t>
      </w:r>
      <w:r w:rsidRPr="00117BC8">
        <w:rPr>
          <w:rFonts w:ascii="Calibri" w:hAnsi="Calibri"/>
          <w:sz w:val="22"/>
        </w:rPr>
        <w:t xml:space="preserve"> sequencing</w:t>
      </w:r>
      <w:r w:rsidR="007D6E0C" w:rsidRPr="00117BC8">
        <w:rPr>
          <w:rFonts w:ascii="Calibri" w:hAnsi="Calibri"/>
          <w:sz w:val="22"/>
        </w:rPr>
        <w:t xml:space="preserve"> </w:t>
      </w:r>
      <w:r w:rsidR="00536BBA" w:rsidRPr="00117BC8">
        <w:rPr>
          <w:rFonts w:ascii="Calibri" w:hAnsi="Calibri"/>
          <w:sz w:val="22"/>
        </w:rPr>
        <w:t xml:space="preserve">of </w:t>
      </w:r>
      <w:r w:rsidR="00536BBA" w:rsidRPr="00117BC8">
        <w:rPr>
          <w:rFonts w:ascii="Calibri" w:hAnsi="Calibri"/>
          <w:i/>
          <w:sz w:val="22"/>
        </w:rPr>
        <w:t>O. cruralis</w:t>
      </w:r>
      <w:r w:rsidR="00536BBA" w:rsidRPr="00117BC8">
        <w:rPr>
          <w:rFonts w:ascii="Calibri" w:hAnsi="Calibri"/>
          <w:sz w:val="22"/>
        </w:rPr>
        <w:t xml:space="preserve"> produced a total of 522,877,358 raw reads (intestine: 193,693,696; liver: 189,463,370; spleen: </w:t>
      </w:r>
      <w:r w:rsidR="009D52B9" w:rsidRPr="00117BC8">
        <w:rPr>
          <w:rFonts w:ascii="Calibri" w:hAnsi="Calibri"/>
          <w:sz w:val="22"/>
        </w:rPr>
        <w:t>139,720,292</w:t>
      </w:r>
      <w:r w:rsidR="00536BBA" w:rsidRPr="00117BC8">
        <w:rPr>
          <w:rFonts w:ascii="Calibri" w:hAnsi="Calibri"/>
          <w:sz w:val="22"/>
        </w:rPr>
        <w:t>).</w:t>
      </w:r>
      <w:r w:rsidR="009D52B9" w:rsidRPr="00117BC8">
        <w:rPr>
          <w:rFonts w:ascii="Calibri" w:hAnsi="Calibri"/>
          <w:sz w:val="22"/>
        </w:rPr>
        <w:t xml:space="preserve"> Among those, 81.47% were kept after low quality trimming and adapter removal (426,003,462). </w:t>
      </w:r>
      <w:r w:rsidR="00B5098D" w:rsidRPr="00117BC8">
        <w:rPr>
          <w:rFonts w:ascii="Calibri" w:hAnsi="Calibri"/>
          <w:sz w:val="22"/>
        </w:rPr>
        <w:t xml:space="preserve">The number of reads was further reduced </w:t>
      </w:r>
      <w:r w:rsidR="00346A06" w:rsidRPr="00117BC8">
        <w:rPr>
          <w:rFonts w:ascii="Calibri" w:hAnsi="Calibri"/>
          <w:sz w:val="22"/>
        </w:rPr>
        <w:t xml:space="preserve">to 6.97% </w:t>
      </w:r>
      <w:r w:rsidR="00B5098D" w:rsidRPr="00117BC8">
        <w:rPr>
          <w:rFonts w:ascii="Calibri" w:hAnsi="Calibri"/>
          <w:sz w:val="22"/>
        </w:rPr>
        <w:t xml:space="preserve">after </w:t>
      </w:r>
      <w:r w:rsidR="00346A06" w:rsidRPr="00117BC8">
        <w:rPr>
          <w:rFonts w:ascii="Calibri" w:hAnsi="Calibri"/>
          <w:i/>
          <w:sz w:val="22"/>
        </w:rPr>
        <w:t>in silico</w:t>
      </w:r>
      <w:r w:rsidR="00346A06" w:rsidRPr="00117BC8">
        <w:rPr>
          <w:rFonts w:ascii="Calibri" w:hAnsi="Calibri"/>
          <w:sz w:val="22"/>
        </w:rPr>
        <w:t xml:space="preserve"> </w:t>
      </w:r>
      <w:r w:rsidR="00B5098D" w:rsidRPr="00740DC3">
        <w:rPr>
          <w:rFonts w:ascii="Calibri" w:hAnsi="Calibri"/>
          <w:i/>
          <w:sz w:val="22"/>
        </w:rPr>
        <w:t>normalization</w:t>
      </w:r>
      <w:r w:rsidR="00B5098D" w:rsidRPr="00117BC8">
        <w:rPr>
          <w:rFonts w:ascii="Calibri" w:hAnsi="Calibri"/>
          <w:sz w:val="22"/>
        </w:rPr>
        <w:t xml:space="preserve"> </w:t>
      </w:r>
      <w:r w:rsidR="00346A06" w:rsidRPr="00117BC8">
        <w:rPr>
          <w:rFonts w:ascii="Calibri" w:hAnsi="Calibri"/>
          <w:sz w:val="22"/>
        </w:rPr>
        <w:t xml:space="preserve">prior to assembly (36,428,858). </w:t>
      </w:r>
      <w:r w:rsidR="00117BC8">
        <w:rPr>
          <w:rFonts w:ascii="Calibri" w:hAnsi="Calibri"/>
          <w:sz w:val="22"/>
        </w:rPr>
        <w:t xml:space="preserve">A total of </w:t>
      </w:r>
      <w:r w:rsidR="00117BC8" w:rsidRPr="00117BC8">
        <w:rPr>
          <w:rFonts w:ascii="Calibri" w:hAnsi="Calibri"/>
          <w:sz w:val="22"/>
        </w:rPr>
        <w:t>550,871</w:t>
      </w:r>
      <w:r w:rsidR="00117BC8">
        <w:rPr>
          <w:rFonts w:ascii="Calibri" w:hAnsi="Calibri"/>
          <w:sz w:val="22"/>
        </w:rPr>
        <w:t xml:space="preserve"> transcripts were obtained after </w:t>
      </w:r>
      <w:r w:rsidR="00117BC8">
        <w:rPr>
          <w:rFonts w:ascii="Calibri" w:hAnsi="Calibri"/>
          <w:i/>
          <w:sz w:val="22"/>
        </w:rPr>
        <w:t>d</w:t>
      </w:r>
      <w:r w:rsidR="00117BC8" w:rsidRPr="00117BC8">
        <w:rPr>
          <w:rFonts w:ascii="Calibri" w:hAnsi="Calibri"/>
          <w:i/>
          <w:sz w:val="22"/>
        </w:rPr>
        <w:t>e-novo</w:t>
      </w:r>
      <w:r w:rsidR="00655DA1">
        <w:rPr>
          <w:rFonts w:ascii="Calibri" w:hAnsi="Calibri"/>
          <w:sz w:val="22"/>
        </w:rPr>
        <w:t xml:space="preserve"> transcriptome assembly,</w:t>
      </w:r>
      <w:r w:rsidR="00117BC8">
        <w:rPr>
          <w:rFonts w:ascii="Calibri" w:hAnsi="Calibri"/>
          <w:sz w:val="22"/>
        </w:rPr>
        <w:t xml:space="preserve"> corresponding to 422,999 putative genes. </w:t>
      </w:r>
      <w:r w:rsidR="00655DA1">
        <w:rPr>
          <w:rFonts w:ascii="Calibri" w:hAnsi="Calibri"/>
          <w:sz w:val="22"/>
        </w:rPr>
        <w:t xml:space="preserve">Transcripts sequences had a N50 length of 731bp and a mean length of 543bp. </w:t>
      </w:r>
      <w:r w:rsidR="00117BC8">
        <w:rPr>
          <w:rFonts w:ascii="Calibri" w:hAnsi="Calibri"/>
          <w:sz w:val="22"/>
        </w:rPr>
        <w:t xml:space="preserve">The assembly included </w:t>
      </w:r>
      <w:r w:rsidR="00655DA1">
        <w:rPr>
          <w:rFonts w:ascii="Calibri" w:hAnsi="Calibri"/>
          <w:sz w:val="22"/>
        </w:rPr>
        <w:t xml:space="preserve">a total of </w:t>
      </w:r>
      <w:r w:rsidR="00117BC8" w:rsidRPr="00117BC8">
        <w:rPr>
          <w:rFonts w:ascii="Calibri" w:hAnsi="Calibri"/>
          <w:sz w:val="22"/>
        </w:rPr>
        <w:t>299</w:t>
      </w:r>
      <w:r w:rsidR="00117BC8">
        <w:rPr>
          <w:rFonts w:ascii="Calibri" w:hAnsi="Calibri"/>
          <w:sz w:val="22"/>
        </w:rPr>
        <w:t>,</w:t>
      </w:r>
      <w:r w:rsidR="00117BC8" w:rsidRPr="00117BC8">
        <w:rPr>
          <w:rFonts w:ascii="Calibri" w:hAnsi="Calibri"/>
          <w:sz w:val="22"/>
        </w:rPr>
        <w:t>133</w:t>
      </w:r>
      <w:r w:rsidR="00117BC8">
        <w:rPr>
          <w:rFonts w:ascii="Calibri" w:hAnsi="Calibri"/>
          <w:sz w:val="22"/>
        </w:rPr>
        <w:t>,</w:t>
      </w:r>
      <w:r w:rsidR="00117BC8" w:rsidRPr="00117BC8">
        <w:rPr>
          <w:rFonts w:ascii="Calibri" w:hAnsi="Calibri"/>
          <w:sz w:val="22"/>
        </w:rPr>
        <w:t>111</w:t>
      </w:r>
      <w:r w:rsidR="00117BC8">
        <w:rPr>
          <w:rFonts w:ascii="Calibri" w:hAnsi="Calibri"/>
          <w:sz w:val="22"/>
        </w:rPr>
        <w:t>bp</w:t>
      </w:r>
      <w:r w:rsidR="00655DA1">
        <w:rPr>
          <w:rFonts w:ascii="Calibri" w:hAnsi="Calibri"/>
          <w:sz w:val="22"/>
        </w:rPr>
        <w:t xml:space="preserve">. </w:t>
      </w:r>
    </w:p>
    <w:p w14:paraId="04812066" w14:textId="1EBDCD86" w:rsidR="00620E34" w:rsidRDefault="00620E34" w:rsidP="00117BC8">
      <w:pPr>
        <w:jc w:val="both"/>
        <w:rPr>
          <w:rFonts w:ascii="Calibri" w:hAnsi="Calibri"/>
          <w:sz w:val="22"/>
        </w:rPr>
      </w:pPr>
    </w:p>
    <w:p w14:paraId="29EF64A4" w14:textId="7563AC7E" w:rsidR="00A25261" w:rsidRPr="00A25261" w:rsidRDefault="00A25261" w:rsidP="00A25261">
      <w:pPr>
        <w:jc w:val="both"/>
        <w:rPr>
          <w:rFonts w:ascii="Calibri" w:hAnsi="Calibri"/>
          <w:b/>
          <w:sz w:val="22"/>
          <w:szCs w:val="22"/>
        </w:rPr>
      </w:pPr>
      <w:r>
        <w:rPr>
          <w:rFonts w:ascii="Calibri" w:hAnsi="Calibri"/>
          <w:b/>
          <w:sz w:val="22"/>
          <w:szCs w:val="22"/>
        </w:rPr>
        <w:t>Annotation</w:t>
      </w:r>
    </w:p>
    <w:p w14:paraId="5FF4BC2C" w14:textId="77777777" w:rsidR="00A25261" w:rsidRPr="00117BC8" w:rsidRDefault="00A25261" w:rsidP="00A25261">
      <w:pPr>
        <w:jc w:val="both"/>
        <w:rPr>
          <w:rFonts w:ascii="Calibri" w:hAnsi="Calibri"/>
          <w:b/>
        </w:rPr>
      </w:pPr>
    </w:p>
    <w:p w14:paraId="57432B12" w14:textId="77777777" w:rsidR="00CE0131" w:rsidRDefault="00CE0131" w:rsidP="00A25261">
      <w:pPr>
        <w:jc w:val="both"/>
        <w:rPr>
          <w:rFonts w:ascii="Calibri" w:hAnsi="Calibri"/>
          <w:sz w:val="22"/>
        </w:rPr>
      </w:pPr>
    </w:p>
    <w:tbl>
      <w:tblPr>
        <w:tblStyle w:val="Tablaconcuadrcula"/>
        <w:tblW w:w="0" w:type="auto"/>
        <w:tblLook w:val="04A0" w:firstRow="1" w:lastRow="0" w:firstColumn="1" w:lastColumn="0" w:noHBand="0" w:noVBand="1"/>
      </w:tblPr>
      <w:tblGrid>
        <w:gridCol w:w="2374"/>
        <w:gridCol w:w="1985"/>
      </w:tblGrid>
      <w:tr w:rsidR="0019276B" w14:paraId="59471542" w14:textId="77777777" w:rsidTr="0019276B">
        <w:trPr>
          <w:trHeight w:val="711"/>
        </w:trPr>
        <w:tc>
          <w:tcPr>
            <w:tcW w:w="2374" w:type="dxa"/>
            <w:vAlign w:val="center"/>
          </w:tcPr>
          <w:p w14:paraId="7241946D" w14:textId="315619AD" w:rsidR="005D2AF1" w:rsidRPr="008363B1" w:rsidRDefault="002F0610" w:rsidP="0019276B">
            <w:pPr>
              <w:jc w:val="center"/>
              <w:rPr>
                <w:rFonts w:ascii="Calibri" w:hAnsi="Calibri"/>
                <w:b/>
                <w:sz w:val="22"/>
              </w:rPr>
            </w:pPr>
            <w:r w:rsidRPr="008363B1">
              <w:rPr>
                <w:rFonts w:ascii="Calibri" w:hAnsi="Calibri"/>
                <w:b/>
                <w:sz w:val="22"/>
              </w:rPr>
              <w:t>Database</w:t>
            </w:r>
          </w:p>
        </w:tc>
        <w:tc>
          <w:tcPr>
            <w:tcW w:w="1985" w:type="dxa"/>
            <w:vAlign w:val="center"/>
          </w:tcPr>
          <w:p w14:paraId="58E80CFC" w14:textId="12A126E4" w:rsidR="005D2AF1" w:rsidRPr="00114590" w:rsidRDefault="00E62BEE" w:rsidP="0019276B">
            <w:pPr>
              <w:jc w:val="center"/>
              <w:rPr>
                <w:rFonts w:ascii="Calibri" w:hAnsi="Calibri"/>
                <w:b/>
                <w:sz w:val="22"/>
              </w:rPr>
            </w:pPr>
            <w:proofErr w:type="spellStart"/>
            <w:r>
              <w:rPr>
                <w:rFonts w:ascii="Calibri" w:hAnsi="Calibri"/>
                <w:b/>
                <w:sz w:val="22"/>
              </w:rPr>
              <w:t>Unigenes</w:t>
            </w:r>
            <w:proofErr w:type="spellEnd"/>
            <w:r w:rsidR="00114590" w:rsidRPr="00114590">
              <w:rPr>
                <w:rFonts w:ascii="Calibri" w:hAnsi="Calibri"/>
                <w:b/>
                <w:sz w:val="22"/>
              </w:rPr>
              <w:t xml:space="preserve"> with significant match</w:t>
            </w:r>
          </w:p>
        </w:tc>
      </w:tr>
      <w:tr w:rsidR="0019276B" w14:paraId="02E2FDF8" w14:textId="77777777" w:rsidTr="0019276B">
        <w:tc>
          <w:tcPr>
            <w:tcW w:w="2374" w:type="dxa"/>
            <w:vAlign w:val="center"/>
          </w:tcPr>
          <w:p w14:paraId="17076C88" w14:textId="06B5D9BE" w:rsidR="005D2AF1" w:rsidRDefault="008363B1" w:rsidP="0019276B">
            <w:pPr>
              <w:jc w:val="center"/>
              <w:rPr>
                <w:rFonts w:ascii="Calibri" w:hAnsi="Calibri"/>
                <w:sz w:val="22"/>
              </w:rPr>
            </w:pPr>
            <w:proofErr w:type="spellStart"/>
            <w:r w:rsidRPr="008363B1">
              <w:rPr>
                <w:rFonts w:ascii="Calibri" w:hAnsi="Calibri"/>
                <w:sz w:val="22"/>
              </w:rPr>
              <w:t>sprot_Top_BLASTX_hit</w:t>
            </w:r>
            <w:proofErr w:type="spellEnd"/>
          </w:p>
        </w:tc>
        <w:tc>
          <w:tcPr>
            <w:tcW w:w="1985" w:type="dxa"/>
            <w:vAlign w:val="center"/>
          </w:tcPr>
          <w:p w14:paraId="12DB51EF" w14:textId="7A6CB5ED" w:rsidR="005D2AF1" w:rsidRDefault="008363B1" w:rsidP="0019276B">
            <w:pPr>
              <w:rPr>
                <w:rFonts w:ascii="Calibri" w:hAnsi="Calibri"/>
                <w:sz w:val="22"/>
              </w:rPr>
            </w:pPr>
            <w:r w:rsidRPr="008363B1">
              <w:rPr>
                <w:rFonts w:ascii="Calibri" w:hAnsi="Calibri"/>
                <w:sz w:val="22"/>
              </w:rPr>
              <w:t>50163</w:t>
            </w:r>
            <w:r w:rsidR="00114590">
              <w:rPr>
                <w:rFonts w:ascii="Calibri" w:hAnsi="Calibri"/>
                <w:sz w:val="22"/>
              </w:rPr>
              <w:t xml:space="preserve"> (</w:t>
            </w:r>
            <w:r w:rsidR="00CB23A4">
              <w:rPr>
                <w:rFonts w:ascii="Calibri" w:hAnsi="Calibri"/>
                <w:sz w:val="22"/>
              </w:rPr>
              <w:t>11.86%</w:t>
            </w:r>
            <w:r w:rsidR="00114590">
              <w:rPr>
                <w:rFonts w:ascii="Calibri" w:hAnsi="Calibri"/>
                <w:sz w:val="22"/>
              </w:rPr>
              <w:t>)</w:t>
            </w:r>
          </w:p>
        </w:tc>
      </w:tr>
      <w:tr w:rsidR="0019276B" w14:paraId="5CF82360" w14:textId="77777777" w:rsidTr="0019276B">
        <w:tc>
          <w:tcPr>
            <w:tcW w:w="2374" w:type="dxa"/>
            <w:vAlign w:val="center"/>
          </w:tcPr>
          <w:p w14:paraId="5935B2CA" w14:textId="78F6C984" w:rsidR="005D2AF1" w:rsidRDefault="008363B1" w:rsidP="0019276B">
            <w:pPr>
              <w:jc w:val="center"/>
              <w:rPr>
                <w:rFonts w:ascii="Calibri" w:hAnsi="Calibri"/>
                <w:sz w:val="22"/>
              </w:rPr>
            </w:pPr>
            <w:proofErr w:type="spellStart"/>
            <w:r w:rsidRPr="008363B1">
              <w:rPr>
                <w:rFonts w:ascii="Calibri" w:hAnsi="Calibri"/>
                <w:sz w:val="22"/>
              </w:rPr>
              <w:t>sprot_Top_BLASTP_hit</w:t>
            </w:r>
            <w:proofErr w:type="spellEnd"/>
          </w:p>
        </w:tc>
        <w:tc>
          <w:tcPr>
            <w:tcW w:w="1985" w:type="dxa"/>
            <w:vAlign w:val="center"/>
          </w:tcPr>
          <w:p w14:paraId="7C18C2DA" w14:textId="1BF7E4F6" w:rsidR="005D2AF1" w:rsidRDefault="008363B1" w:rsidP="0019276B">
            <w:pPr>
              <w:rPr>
                <w:rFonts w:ascii="Calibri" w:hAnsi="Calibri"/>
                <w:sz w:val="22"/>
              </w:rPr>
            </w:pPr>
            <w:r w:rsidRPr="008363B1">
              <w:rPr>
                <w:rFonts w:ascii="Calibri" w:hAnsi="Calibri"/>
                <w:sz w:val="22"/>
              </w:rPr>
              <w:t>27481</w:t>
            </w:r>
            <w:r w:rsidR="00CB23A4">
              <w:rPr>
                <w:rFonts w:ascii="Calibri" w:hAnsi="Calibri"/>
                <w:sz w:val="22"/>
              </w:rPr>
              <w:t xml:space="preserve"> (6.50%)</w:t>
            </w:r>
          </w:p>
        </w:tc>
      </w:tr>
      <w:tr w:rsidR="0019276B" w14:paraId="4643311E" w14:textId="77777777" w:rsidTr="0019276B">
        <w:tc>
          <w:tcPr>
            <w:tcW w:w="2374" w:type="dxa"/>
            <w:vAlign w:val="center"/>
          </w:tcPr>
          <w:p w14:paraId="3671EF38" w14:textId="2E9DB747" w:rsidR="005D2AF1" w:rsidRDefault="008363B1" w:rsidP="0019276B">
            <w:pPr>
              <w:jc w:val="center"/>
              <w:rPr>
                <w:rFonts w:ascii="Calibri" w:hAnsi="Calibri"/>
                <w:sz w:val="22"/>
              </w:rPr>
            </w:pPr>
            <w:r>
              <w:rPr>
                <w:rFonts w:ascii="Calibri" w:hAnsi="Calibri"/>
                <w:sz w:val="22"/>
              </w:rPr>
              <w:t>RNAMMER</w:t>
            </w:r>
          </w:p>
        </w:tc>
        <w:tc>
          <w:tcPr>
            <w:tcW w:w="1985" w:type="dxa"/>
            <w:vAlign w:val="center"/>
          </w:tcPr>
          <w:p w14:paraId="4BF30CE9" w14:textId="5578F846" w:rsidR="005D2AF1" w:rsidRDefault="008363B1" w:rsidP="0019276B">
            <w:pPr>
              <w:rPr>
                <w:rFonts w:ascii="Calibri" w:hAnsi="Calibri"/>
                <w:sz w:val="22"/>
              </w:rPr>
            </w:pPr>
            <w:r>
              <w:rPr>
                <w:rFonts w:ascii="Calibri" w:hAnsi="Calibri"/>
                <w:sz w:val="22"/>
              </w:rPr>
              <w:t>0</w:t>
            </w:r>
          </w:p>
        </w:tc>
      </w:tr>
      <w:tr w:rsidR="0019276B" w14:paraId="193F4B0A" w14:textId="77777777" w:rsidTr="0019276B">
        <w:tc>
          <w:tcPr>
            <w:tcW w:w="2374" w:type="dxa"/>
            <w:vAlign w:val="center"/>
          </w:tcPr>
          <w:p w14:paraId="1AC02A03" w14:textId="2ABC6C37" w:rsidR="005D2AF1" w:rsidRDefault="008363B1" w:rsidP="0019276B">
            <w:pPr>
              <w:jc w:val="center"/>
              <w:rPr>
                <w:rFonts w:ascii="Calibri" w:hAnsi="Calibri"/>
                <w:sz w:val="22"/>
              </w:rPr>
            </w:pPr>
            <w:proofErr w:type="spellStart"/>
            <w:r w:rsidRPr="008363B1">
              <w:rPr>
                <w:rFonts w:ascii="Calibri" w:hAnsi="Calibri"/>
                <w:sz w:val="22"/>
              </w:rPr>
              <w:t>Pfam</w:t>
            </w:r>
            <w:proofErr w:type="spellEnd"/>
          </w:p>
        </w:tc>
        <w:tc>
          <w:tcPr>
            <w:tcW w:w="1985" w:type="dxa"/>
            <w:vAlign w:val="center"/>
          </w:tcPr>
          <w:p w14:paraId="59186DF6" w14:textId="730B2F0B" w:rsidR="005D2AF1" w:rsidRDefault="008363B1" w:rsidP="0019276B">
            <w:pPr>
              <w:rPr>
                <w:rFonts w:ascii="Calibri" w:hAnsi="Calibri"/>
                <w:sz w:val="22"/>
              </w:rPr>
            </w:pPr>
            <w:r w:rsidRPr="008363B1">
              <w:rPr>
                <w:rFonts w:ascii="Calibri" w:hAnsi="Calibri"/>
                <w:sz w:val="22"/>
              </w:rPr>
              <w:t>23500</w:t>
            </w:r>
            <w:r w:rsidR="00CB23A4">
              <w:rPr>
                <w:rFonts w:ascii="Calibri" w:hAnsi="Calibri"/>
                <w:sz w:val="22"/>
              </w:rPr>
              <w:t xml:space="preserve"> (5.56%)</w:t>
            </w:r>
          </w:p>
        </w:tc>
      </w:tr>
      <w:tr w:rsidR="0019276B" w14:paraId="5B71478A" w14:textId="77777777" w:rsidTr="0019276B">
        <w:tc>
          <w:tcPr>
            <w:tcW w:w="2374" w:type="dxa"/>
            <w:vAlign w:val="center"/>
          </w:tcPr>
          <w:p w14:paraId="52C18383" w14:textId="5CD56AB2" w:rsidR="008363B1" w:rsidRPr="008363B1" w:rsidRDefault="008363B1" w:rsidP="0019276B">
            <w:pPr>
              <w:jc w:val="center"/>
              <w:rPr>
                <w:rFonts w:ascii="Calibri" w:hAnsi="Calibri"/>
                <w:sz w:val="22"/>
              </w:rPr>
            </w:pPr>
            <w:proofErr w:type="spellStart"/>
            <w:r w:rsidRPr="008363B1">
              <w:rPr>
                <w:rFonts w:ascii="Calibri" w:hAnsi="Calibri"/>
                <w:sz w:val="22"/>
              </w:rPr>
              <w:t>SignalP</w:t>
            </w:r>
            <w:proofErr w:type="spellEnd"/>
          </w:p>
        </w:tc>
        <w:tc>
          <w:tcPr>
            <w:tcW w:w="1985" w:type="dxa"/>
            <w:vAlign w:val="center"/>
          </w:tcPr>
          <w:p w14:paraId="64DF0936" w14:textId="62C5E0EB" w:rsidR="008363B1" w:rsidRDefault="008363B1" w:rsidP="0019276B">
            <w:pPr>
              <w:rPr>
                <w:rFonts w:ascii="Calibri" w:hAnsi="Calibri"/>
                <w:sz w:val="22"/>
              </w:rPr>
            </w:pPr>
            <w:r>
              <w:rPr>
                <w:rFonts w:ascii="Calibri" w:hAnsi="Calibri"/>
                <w:sz w:val="22"/>
              </w:rPr>
              <w:t>0</w:t>
            </w:r>
          </w:p>
        </w:tc>
      </w:tr>
      <w:tr w:rsidR="0019276B" w14:paraId="5CC2E1FD" w14:textId="77777777" w:rsidTr="0019276B">
        <w:trPr>
          <w:trHeight w:val="292"/>
        </w:trPr>
        <w:tc>
          <w:tcPr>
            <w:tcW w:w="2374" w:type="dxa"/>
            <w:vAlign w:val="center"/>
          </w:tcPr>
          <w:p w14:paraId="6055221D" w14:textId="1F90AC96" w:rsidR="008363B1" w:rsidRPr="008363B1" w:rsidRDefault="008363B1" w:rsidP="0019276B">
            <w:pPr>
              <w:jc w:val="center"/>
              <w:rPr>
                <w:rFonts w:ascii="Calibri" w:hAnsi="Calibri"/>
                <w:sz w:val="22"/>
              </w:rPr>
            </w:pPr>
            <w:proofErr w:type="spellStart"/>
            <w:r w:rsidRPr="008363B1">
              <w:rPr>
                <w:rFonts w:ascii="Calibri" w:hAnsi="Calibri"/>
                <w:sz w:val="22"/>
              </w:rPr>
              <w:t>TmHMM</w:t>
            </w:r>
            <w:proofErr w:type="spellEnd"/>
          </w:p>
        </w:tc>
        <w:tc>
          <w:tcPr>
            <w:tcW w:w="1985" w:type="dxa"/>
            <w:vAlign w:val="center"/>
          </w:tcPr>
          <w:p w14:paraId="3D0AA759" w14:textId="4015FE57" w:rsidR="008363B1" w:rsidRDefault="008363B1" w:rsidP="0019276B">
            <w:pPr>
              <w:rPr>
                <w:rFonts w:ascii="Calibri" w:hAnsi="Calibri"/>
                <w:sz w:val="22"/>
              </w:rPr>
            </w:pPr>
            <w:r w:rsidRPr="008363B1">
              <w:rPr>
                <w:rFonts w:ascii="Calibri" w:hAnsi="Calibri"/>
                <w:sz w:val="22"/>
              </w:rPr>
              <w:t>5474</w:t>
            </w:r>
            <w:r w:rsidR="00CB23A4">
              <w:rPr>
                <w:rFonts w:ascii="Calibri" w:hAnsi="Calibri"/>
                <w:sz w:val="22"/>
              </w:rPr>
              <w:t xml:space="preserve"> (1.29%)</w:t>
            </w:r>
          </w:p>
        </w:tc>
      </w:tr>
      <w:tr w:rsidR="0019276B" w14:paraId="36F6F53A" w14:textId="77777777" w:rsidTr="0019276B">
        <w:trPr>
          <w:trHeight w:val="278"/>
        </w:trPr>
        <w:tc>
          <w:tcPr>
            <w:tcW w:w="2374" w:type="dxa"/>
            <w:vAlign w:val="center"/>
          </w:tcPr>
          <w:p w14:paraId="429A65E9" w14:textId="37B8260B" w:rsidR="008363B1" w:rsidRPr="008363B1" w:rsidRDefault="008363B1" w:rsidP="0019276B">
            <w:pPr>
              <w:jc w:val="center"/>
              <w:rPr>
                <w:rFonts w:ascii="Calibri" w:hAnsi="Calibri"/>
                <w:sz w:val="22"/>
              </w:rPr>
            </w:pPr>
            <w:r w:rsidRPr="008363B1">
              <w:rPr>
                <w:rFonts w:ascii="Calibri" w:hAnsi="Calibri"/>
                <w:sz w:val="22"/>
              </w:rPr>
              <w:t>eggnog</w:t>
            </w:r>
          </w:p>
        </w:tc>
        <w:tc>
          <w:tcPr>
            <w:tcW w:w="1985" w:type="dxa"/>
            <w:vAlign w:val="center"/>
          </w:tcPr>
          <w:p w14:paraId="38448033" w14:textId="5C691BEB" w:rsidR="008363B1" w:rsidRDefault="008363B1" w:rsidP="0019276B">
            <w:pPr>
              <w:rPr>
                <w:rFonts w:ascii="Calibri" w:hAnsi="Calibri"/>
                <w:sz w:val="22"/>
              </w:rPr>
            </w:pPr>
            <w:r w:rsidRPr="008363B1">
              <w:rPr>
                <w:rFonts w:ascii="Calibri" w:hAnsi="Calibri"/>
                <w:sz w:val="22"/>
              </w:rPr>
              <w:t>37349</w:t>
            </w:r>
            <w:r w:rsidR="00CB23A4">
              <w:rPr>
                <w:rFonts w:ascii="Calibri" w:hAnsi="Calibri"/>
                <w:sz w:val="22"/>
              </w:rPr>
              <w:t xml:space="preserve"> (8.83%)</w:t>
            </w:r>
          </w:p>
        </w:tc>
      </w:tr>
      <w:tr w:rsidR="0019276B" w14:paraId="58CFB6A9" w14:textId="77777777" w:rsidTr="0019276B">
        <w:tc>
          <w:tcPr>
            <w:tcW w:w="2374" w:type="dxa"/>
            <w:vAlign w:val="center"/>
          </w:tcPr>
          <w:p w14:paraId="75FBE301" w14:textId="5C9735DD" w:rsidR="008363B1" w:rsidRPr="008363B1" w:rsidRDefault="008363B1" w:rsidP="0019276B">
            <w:pPr>
              <w:jc w:val="center"/>
              <w:rPr>
                <w:rFonts w:ascii="Calibri" w:hAnsi="Calibri"/>
                <w:sz w:val="22"/>
              </w:rPr>
            </w:pPr>
            <w:proofErr w:type="spellStart"/>
            <w:r w:rsidRPr="008363B1">
              <w:rPr>
                <w:rFonts w:ascii="Calibri" w:hAnsi="Calibri"/>
                <w:sz w:val="22"/>
              </w:rPr>
              <w:t>Kegg</w:t>
            </w:r>
            <w:proofErr w:type="spellEnd"/>
          </w:p>
        </w:tc>
        <w:tc>
          <w:tcPr>
            <w:tcW w:w="1985" w:type="dxa"/>
            <w:vAlign w:val="center"/>
          </w:tcPr>
          <w:p w14:paraId="5B409CE4" w14:textId="5E32F803" w:rsidR="008363B1" w:rsidRDefault="008363B1" w:rsidP="0019276B">
            <w:pPr>
              <w:rPr>
                <w:rFonts w:ascii="Calibri" w:hAnsi="Calibri"/>
                <w:sz w:val="22"/>
              </w:rPr>
            </w:pPr>
            <w:r w:rsidRPr="008363B1">
              <w:rPr>
                <w:rFonts w:ascii="Calibri" w:hAnsi="Calibri"/>
                <w:sz w:val="22"/>
              </w:rPr>
              <w:t>38120</w:t>
            </w:r>
            <w:r w:rsidR="00CB23A4">
              <w:rPr>
                <w:rFonts w:ascii="Calibri" w:hAnsi="Calibri"/>
                <w:sz w:val="22"/>
              </w:rPr>
              <w:t xml:space="preserve"> (</w:t>
            </w:r>
            <w:r w:rsidR="004A00B2">
              <w:rPr>
                <w:rFonts w:ascii="Calibri" w:hAnsi="Calibri"/>
                <w:sz w:val="22"/>
              </w:rPr>
              <w:t>9.01%</w:t>
            </w:r>
            <w:r w:rsidR="00CB23A4">
              <w:rPr>
                <w:rFonts w:ascii="Calibri" w:hAnsi="Calibri"/>
                <w:sz w:val="22"/>
              </w:rPr>
              <w:t>)</w:t>
            </w:r>
          </w:p>
        </w:tc>
      </w:tr>
      <w:tr w:rsidR="0019276B" w14:paraId="3A8F16D5" w14:textId="77777777" w:rsidTr="0019276B">
        <w:tc>
          <w:tcPr>
            <w:tcW w:w="2374" w:type="dxa"/>
            <w:vAlign w:val="center"/>
          </w:tcPr>
          <w:p w14:paraId="7D0B5728" w14:textId="7FC877CD" w:rsidR="008363B1" w:rsidRPr="008363B1" w:rsidRDefault="008363B1" w:rsidP="0019276B">
            <w:pPr>
              <w:jc w:val="center"/>
              <w:rPr>
                <w:rFonts w:ascii="Calibri" w:hAnsi="Calibri"/>
                <w:sz w:val="22"/>
              </w:rPr>
            </w:pPr>
            <w:proofErr w:type="spellStart"/>
            <w:r w:rsidRPr="008363B1">
              <w:rPr>
                <w:rFonts w:ascii="Calibri" w:hAnsi="Calibri"/>
                <w:sz w:val="22"/>
              </w:rPr>
              <w:t>gene_ontology_blast</w:t>
            </w:r>
            <w:proofErr w:type="spellEnd"/>
          </w:p>
        </w:tc>
        <w:tc>
          <w:tcPr>
            <w:tcW w:w="1985" w:type="dxa"/>
            <w:vAlign w:val="center"/>
          </w:tcPr>
          <w:p w14:paraId="371BA4D3" w14:textId="3572FA1B" w:rsidR="008363B1" w:rsidRDefault="008363B1" w:rsidP="0019276B">
            <w:pPr>
              <w:rPr>
                <w:rFonts w:ascii="Calibri" w:hAnsi="Calibri"/>
                <w:sz w:val="22"/>
              </w:rPr>
            </w:pPr>
            <w:r w:rsidRPr="008363B1">
              <w:rPr>
                <w:rFonts w:ascii="Calibri" w:hAnsi="Calibri"/>
                <w:sz w:val="22"/>
              </w:rPr>
              <w:t>46293</w:t>
            </w:r>
            <w:r w:rsidR="004A00B2">
              <w:rPr>
                <w:rFonts w:ascii="Calibri" w:hAnsi="Calibri"/>
                <w:sz w:val="22"/>
              </w:rPr>
              <w:t xml:space="preserve"> (10.94%)</w:t>
            </w:r>
          </w:p>
        </w:tc>
      </w:tr>
      <w:tr w:rsidR="0019276B" w14:paraId="7DBD67B3" w14:textId="77777777" w:rsidTr="0019276B">
        <w:trPr>
          <w:trHeight w:val="250"/>
        </w:trPr>
        <w:tc>
          <w:tcPr>
            <w:tcW w:w="2374" w:type="dxa"/>
            <w:vAlign w:val="center"/>
          </w:tcPr>
          <w:p w14:paraId="0060FF86" w14:textId="6BF2F8A2" w:rsidR="008363B1" w:rsidRPr="008363B1" w:rsidRDefault="008363B1" w:rsidP="0019276B">
            <w:pPr>
              <w:jc w:val="center"/>
              <w:rPr>
                <w:rFonts w:ascii="Calibri" w:hAnsi="Calibri"/>
                <w:sz w:val="22"/>
              </w:rPr>
            </w:pPr>
            <w:proofErr w:type="spellStart"/>
            <w:r w:rsidRPr="008363B1">
              <w:rPr>
                <w:rFonts w:ascii="Calibri" w:hAnsi="Calibri"/>
                <w:sz w:val="22"/>
              </w:rPr>
              <w:t>gene_ontology_pfam</w:t>
            </w:r>
            <w:proofErr w:type="spellEnd"/>
          </w:p>
        </w:tc>
        <w:tc>
          <w:tcPr>
            <w:tcW w:w="1985" w:type="dxa"/>
            <w:vAlign w:val="center"/>
          </w:tcPr>
          <w:p w14:paraId="24376F81" w14:textId="7A1B777B" w:rsidR="008363B1" w:rsidRDefault="008363B1" w:rsidP="0019276B">
            <w:pPr>
              <w:rPr>
                <w:rFonts w:ascii="Calibri" w:hAnsi="Calibri"/>
                <w:sz w:val="22"/>
              </w:rPr>
            </w:pPr>
            <w:r w:rsidRPr="008363B1">
              <w:rPr>
                <w:rFonts w:ascii="Calibri" w:hAnsi="Calibri"/>
                <w:sz w:val="22"/>
              </w:rPr>
              <w:t>15225</w:t>
            </w:r>
            <w:r w:rsidR="004A00B2">
              <w:rPr>
                <w:rFonts w:ascii="Calibri" w:hAnsi="Calibri"/>
                <w:sz w:val="22"/>
              </w:rPr>
              <w:t xml:space="preserve"> (3.60%)</w:t>
            </w:r>
          </w:p>
        </w:tc>
      </w:tr>
    </w:tbl>
    <w:p w14:paraId="46D84783" w14:textId="77777777" w:rsidR="00CE0131" w:rsidRDefault="00CE0131" w:rsidP="00A25261">
      <w:pPr>
        <w:jc w:val="both"/>
        <w:rPr>
          <w:rFonts w:ascii="Calibri" w:hAnsi="Calibri"/>
          <w:sz w:val="22"/>
        </w:rPr>
      </w:pPr>
    </w:p>
    <w:p w14:paraId="4CFBC77C" w14:textId="77777777" w:rsidR="00CE0067" w:rsidRDefault="00CE0067" w:rsidP="00A25261">
      <w:pPr>
        <w:jc w:val="both"/>
        <w:rPr>
          <w:rFonts w:ascii="Calibri" w:hAnsi="Calibri"/>
          <w:sz w:val="22"/>
        </w:rPr>
      </w:pPr>
    </w:p>
    <w:p w14:paraId="10216D2A" w14:textId="3A03983C" w:rsidR="00CE0067" w:rsidRPr="00CE0067" w:rsidRDefault="00CE0067" w:rsidP="00CE0067">
      <w:pPr>
        <w:widowControl w:val="0"/>
        <w:autoSpaceDE w:val="0"/>
        <w:autoSpaceDN w:val="0"/>
        <w:adjustRightInd w:val="0"/>
        <w:ind w:left="480" w:hanging="480"/>
        <w:rPr>
          <w:rFonts w:ascii="Calibri" w:hAnsi="Calibri"/>
          <w:noProof/>
          <w:sz w:val="22"/>
        </w:rPr>
      </w:pPr>
      <w:r>
        <w:rPr>
          <w:rFonts w:ascii="Calibri" w:hAnsi="Calibri"/>
          <w:sz w:val="22"/>
        </w:rPr>
        <w:fldChar w:fldCharType="begin" w:fldLock="1"/>
      </w:r>
      <w:r>
        <w:rPr>
          <w:rFonts w:ascii="Calibri" w:hAnsi="Calibri"/>
          <w:sz w:val="22"/>
        </w:rPr>
        <w:instrText xml:space="preserve">ADDIN Mendeley Bibliography CSL_BIBLIOGRAPHY </w:instrText>
      </w:r>
      <w:r>
        <w:rPr>
          <w:rFonts w:ascii="Calibri" w:hAnsi="Calibri"/>
          <w:sz w:val="22"/>
        </w:rPr>
        <w:fldChar w:fldCharType="separate"/>
      </w:r>
      <w:r w:rsidRPr="00CE0067">
        <w:rPr>
          <w:rFonts w:ascii="Calibri" w:hAnsi="Calibri"/>
          <w:noProof/>
          <w:sz w:val="22"/>
        </w:rPr>
        <w:t xml:space="preserve">Bolger AM, Lohse M, Usadel B (2014) Trimmomatic: A flexible trimmer for Illumina sequence data. </w:t>
      </w:r>
      <w:r w:rsidRPr="00CE0067">
        <w:rPr>
          <w:rFonts w:ascii="Calibri" w:hAnsi="Calibri"/>
          <w:i/>
          <w:iCs/>
          <w:noProof/>
          <w:sz w:val="22"/>
        </w:rPr>
        <w:t>Bioinformatics</w:t>
      </w:r>
      <w:r w:rsidRPr="00CE0067">
        <w:rPr>
          <w:rFonts w:ascii="Calibri" w:hAnsi="Calibri"/>
          <w:noProof/>
          <w:sz w:val="22"/>
        </w:rPr>
        <w:t xml:space="preserve">, </w:t>
      </w:r>
      <w:r w:rsidRPr="00CE0067">
        <w:rPr>
          <w:rFonts w:ascii="Calibri" w:hAnsi="Calibri"/>
          <w:b/>
          <w:bCs/>
          <w:noProof/>
          <w:sz w:val="22"/>
        </w:rPr>
        <w:t>30</w:t>
      </w:r>
      <w:r w:rsidRPr="00CE0067">
        <w:rPr>
          <w:rFonts w:ascii="Calibri" w:hAnsi="Calibri"/>
          <w:noProof/>
          <w:sz w:val="22"/>
        </w:rPr>
        <w:t>, 2114–2120.</w:t>
      </w:r>
    </w:p>
    <w:p w14:paraId="6D659542" w14:textId="77777777" w:rsidR="00CE0067" w:rsidRPr="00CE0067" w:rsidRDefault="00CE0067" w:rsidP="00CE0067">
      <w:pPr>
        <w:widowControl w:val="0"/>
        <w:autoSpaceDE w:val="0"/>
        <w:autoSpaceDN w:val="0"/>
        <w:adjustRightInd w:val="0"/>
        <w:ind w:left="480" w:hanging="480"/>
        <w:rPr>
          <w:rFonts w:ascii="Calibri" w:hAnsi="Calibri"/>
          <w:noProof/>
          <w:sz w:val="22"/>
        </w:rPr>
      </w:pPr>
      <w:r w:rsidRPr="00CE0067">
        <w:rPr>
          <w:rFonts w:ascii="Calibri" w:hAnsi="Calibri"/>
          <w:noProof/>
          <w:sz w:val="22"/>
        </w:rPr>
        <w:t xml:space="preserve">Grabherr MG, Haas BJ, Yassour M </w:t>
      </w:r>
      <w:r w:rsidRPr="00CE0067">
        <w:rPr>
          <w:rFonts w:ascii="Calibri" w:hAnsi="Calibri"/>
          <w:i/>
          <w:iCs/>
          <w:noProof/>
          <w:sz w:val="22"/>
        </w:rPr>
        <w:t>et al.</w:t>
      </w:r>
      <w:r w:rsidRPr="00CE0067">
        <w:rPr>
          <w:rFonts w:ascii="Calibri" w:hAnsi="Calibri"/>
          <w:noProof/>
          <w:sz w:val="22"/>
        </w:rPr>
        <w:t xml:space="preserve"> (2011) Full-length transcriptome assembly from RNA-Seq data without a reference genome. </w:t>
      </w:r>
      <w:r w:rsidRPr="00CE0067">
        <w:rPr>
          <w:rFonts w:ascii="Calibri" w:hAnsi="Calibri"/>
          <w:i/>
          <w:iCs/>
          <w:noProof/>
          <w:sz w:val="22"/>
        </w:rPr>
        <w:t>Nature biotechnology</w:t>
      </w:r>
      <w:r w:rsidRPr="00CE0067">
        <w:rPr>
          <w:rFonts w:ascii="Calibri" w:hAnsi="Calibri"/>
          <w:noProof/>
          <w:sz w:val="22"/>
        </w:rPr>
        <w:t xml:space="preserve">, </w:t>
      </w:r>
      <w:r w:rsidRPr="00CE0067">
        <w:rPr>
          <w:rFonts w:ascii="Calibri" w:hAnsi="Calibri"/>
          <w:b/>
          <w:bCs/>
          <w:noProof/>
          <w:sz w:val="22"/>
        </w:rPr>
        <w:t>29</w:t>
      </w:r>
      <w:r w:rsidRPr="00CE0067">
        <w:rPr>
          <w:rFonts w:ascii="Calibri" w:hAnsi="Calibri"/>
          <w:noProof/>
          <w:sz w:val="22"/>
        </w:rPr>
        <w:t>, 644–52.</w:t>
      </w:r>
    </w:p>
    <w:p w14:paraId="6D1BFD3C" w14:textId="77777777" w:rsidR="00CE0067" w:rsidRPr="00CE0067" w:rsidRDefault="00CE0067" w:rsidP="00CE0067">
      <w:pPr>
        <w:widowControl w:val="0"/>
        <w:autoSpaceDE w:val="0"/>
        <w:autoSpaceDN w:val="0"/>
        <w:adjustRightInd w:val="0"/>
        <w:ind w:left="480" w:hanging="480"/>
        <w:rPr>
          <w:rFonts w:ascii="Calibri" w:hAnsi="Calibri"/>
          <w:noProof/>
          <w:sz w:val="22"/>
        </w:rPr>
      </w:pPr>
      <w:r w:rsidRPr="00CE0067">
        <w:rPr>
          <w:rFonts w:ascii="Calibri" w:hAnsi="Calibri"/>
          <w:noProof/>
          <w:sz w:val="22"/>
        </w:rPr>
        <w:t xml:space="preserve">Kopylova E, Noé L, Touzet H (2012) SortMeRNA: Fast and accurate filtering of ribosomal RNAs in metatranscriptomic data. </w:t>
      </w:r>
      <w:r w:rsidRPr="00CE0067">
        <w:rPr>
          <w:rFonts w:ascii="Calibri" w:hAnsi="Calibri"/>
          <w:i/>
          <w:iCs/>
          <w:noProof/>
          <w:sz w:val="22"/>
        </w:rPr>
        <w:t>Bioinformatics</w:t>
      </w:r>
      <w:r w:rsidRPr="00CE0067">
        <w:rPr>
          <w:rFonts w:ascii="Calibri" w:hAnsi="Calibri"/>
          <w:noProof/>
          <w:sz w:val="22"/>
        </w:rPr>
        <w:t xml:space="preserve">, </w:t>
      </w:r>
      <w:r w:rsidRPr="00CE0067">
        <w:rPr>
          <w:rFonts w:ascii="Calibri" w:hAnsi="Calibri"/>
          <w:b/>
          <w:bCs/>
          <w:noProof/>
          <w:sz w:val="22"/>
        </w:rPr>
        <w:t>28</w:t>
      </w:r>
      <w:r w:rsidRPr="00CE0067">
        <w:rPr>
          <w:rFonts w:ascii="Calibri" w:hAnsi="Calibri"/>
          <w:noProof/>
          <w:sz w:val="22"/>
        </w:rPr>
        <w:t>, 3211–3217.</w:t>
      </w:r>
    </w:p>
    <w:p w14:paraId="65CED52A" w14:textId="77777777" w:rsidR="00CE0067" w:rsidRPr="00CE0067" w:rsidRDefault="00CE0067" w:rsidP="00CE0067">
      <w:pPr>
        <w:widowControl w:val="0"/>
        <w:autoSpaceDE w:val="0"/>
        <w:autoSpaceDN w:val="0"/>
        <w:adjustRightInd w:val="0"/>
        <w:ind w:left="480" w:hanging="480"/>
        <w:rPr>
          <w:rFonts w:ascii="Calibri" w:hAnsi="Calibri"/>
          <w:noProof/>
          <w:sz w:val="22"/>
        </w:rPr>
      </w:pPr>
      <w:r w:rsidRPr="00CE0067">
        <w:rPr>
          <w:rFonts w:ascii="Calibri" w:hAnsi="Calibri"/>
          <w:noProof/>
          <w:sz w:val="22"/>
        </w:rPr>
        <w:t xml:space="preserve">Portik DM, Smith LL, Bi K (2016) An evaluation of transcriptome-based exon capture for frog phylogenomics across multiple scales of divergence (Class: Amphibia, Order: Anura). </w:t>
      </w:r>
      <w:r w:rsidRPr="00CE0067">
        <w:rPr>
          <w:rFonts w:ascii="Calibri" w:hAnsi="Calibri"/>
          <w:i/>
          <w:iCs/>
          <w:noProof/>
          <w:sz w:val="22"/>
        </w:rPr>
        <w:t>Molecular Ecology Resources</w:t>
      </w:r>
      <w:r w:rsidRPr="00CE0067">
        <w:rPr>
          <w:rFonts w:ascii="Calibri" w:hAnsi="Calibri"/>
          <w:noProof/>
          <w:sz w:val="22"/>
        </w:rPr>
        <w:t xml:space="preserve">, </w:t>
      </w:r>
      <w:r w:rsidRPr="00CE0067">
        <w:rPr>
          <w:rFonts w:ascii="Calibri" w:hAnsi="Calibri"/>
          <w:b/>
          <w:bCs/>
          <w:noProof/>
          <w:sz w:val="22"/>
        </w:rPr>
        <w:t>16</w:t>
      </w:r>
      <w:r w:rsidRPr="00CE0067">
        <w:rPr>
          <w:rFonts w:ascii="Calibri" w:hAnsi="Calibri"/>
          <w:noProof/>
          <w:sz w:val="22"/>
        </w:rPr>
        <w:t>, 1069–1083.</w:t>
      </w:r>
    </w:p>
    <w:p w14:paraId="4AD49B87" w14:textId="77777777" w:rsidR="00CE0067" w:rsidRPr="00CE0067" w:rsidRDefault="00CE0067" w:rsidP="00CE0067">
      <w:pPr>
        <w:widowControl w:val="0"/>
        <w:autoSpaceDE w:val="0"/>
        <w:autoSpaceDN w:val="0"/>
        <w:adjustRightInd w:val="0"/>
        <w:ind w:left="480" w:hanging="480"/>
        <w:rPr>
          <w:rFonts w:ascii="Calibri" w:hAnsi="Calibri"/>
          <w:noProof/>
          <w:sz w:val="22"/>
        </w:rPr>
      </w:pPr>
      <w:r w:rsidRPr="00CE0067">
        <w:rPr>
          <w:rFonts w:ascii="Calibri" w:hAnsi="Calibri"/>
          <w:noProof/>
          <w:sz w:val="22"/>
        </w:rPr>
        <w:t xml:space="preserve">Singhal S (2013) De novo transcriptomic analyses for non-model organisms: An evaluation of methods across a multi-species data set. </w:t>
      </w:r>
      <w:r w:rsidRPr="00CE0067">
        <w:rPr>
          <w:rFonts w:ascii="Calibri" w:hAnsi="Calibri"/>
          <w:i/>
          <w:iCs/>
          <w:noProof/>
          <w:sz w:val="22"/>
        </w:rPr>
        <w:t>Molecular Ecology Resources</w:t>
      </w:r>
      <w:r w:rsidRPr="00CE0067">
        <w:rPr>
          <w:rFonts w:ascii="Calibri" w:hAnsi="Calibri"/>
          <w:noProof/>
          <w:sz w:val="22"/>
        </w:rPr>
        <w:t xml:space="preserve">, </w:t>
      </w:r>
      <w:r w:rsidRPr="00CE0067">
        <w:rPr>
          <w:rFonts w:ascii="Calibri" w:hAnsi="Calibri"/>
          <w:b/>
          <w:bCs/>
          <w:noProof/>
          <w:sz w:val="22"/>
        </w:rPr>
        <w:t>13</w:t>
      </w:r>
      <w:r w:rsidRPr="00CE0067">
        <w:rPr>
          <w:rFonts w:ascii="Calibri" w:hAnsi="Calibri"/>
          <w:noProof/>
          <w:sz w:val="22"/>
        </w:rPr>
        <w:t>, 403–416.</w:t>
      </w:r>
    </w:p>
    <w:p w14:paraId="7220C5AF" w14:textId="0CA705CF" w:rsidR="00CE0067" w:rsidRPr="00536BBA" w:rsidRDefault="00CE0067" w:rsidP="00A25261">
      <w:pPr>
        <w:jc w:val="both"/>
        <w:rPr>
          <w:rFonts w:ascii="Calibri" w:hAnsi="Calibri"/>
          <w:sz w:val="22"/>
        </w:rPr>
      </w:pPr>
      <w:r>
        <w:rPr>
          <w:rFonts w:ascii="Calibri" w:hAnsi="Calibri"/>
          <w:sz w:val="22"/>
        </w:rPr>
        <w:fldChar w:fldCharType="end"/>
      </w:r>
      <w:bookmarkStart w:id="0" w:name="_GoBack"/>
      <w:bookmarkEnd w:id="0"/>
    </w:p>
    <w:sectPr w:rsidR="00CE0067" w:rsidRPr="00536BBA" w:rsidSect="00AD335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FCC"/>
    <w:rsid w:val="0001342B"/>
    <w:rsid w:val="00045266"/>
    <w:rsid w:val="000D0291"/>
    <w:rsid w:val="00114590"/>
    <w:rsid w:val="00117BC8"/>
    <w:rsid w:val="0019276B"/>
    <w:rsid w:val="00200F95"/>
    <w:rsid w:val="0022539C"/>
    <w:rsid w:val="002F0610"/>
    <w:rsid w:val="00346A06"/>
    <w:rsid w:val="00432432"/>
    <w:rsid w:val="00445118"/>
    <w:rsid w:val="004A00B2"/>
    <w:rsid w:val="004D260D"/>
    <w:rsid w:val="00511DDB"/>
    <w:rsid w:val="00536BBA"/>
    <w:rsid w:val="005476E2"/>
    <w:rsid w:val="005C2412"/>
    <w:rsid w:val="005D2AF1"/>
    <w:rsid w:val="00620E34"/>
    <w:rsid w:val="00655DA1"/>
    <w:rsid w:val="006C74A5"/>
    <w:rsid w:val="006F3302"/>
    <w:rsid w:val="00740DC3"/>
    <w:rsid w:val="00787102"/>
    <w:rsid w:val="007A4CBC"/>
    <w:rsid w:val="007D6E0C"/>
    <w:rsid w:val="008363B1"/>
    <w:rsid w:val="008C3DAE"/>
    <w:rsid w:val="008E5598"/>
    <w:rsid w:val="0093128A"/>
    <w:rsid w:val="009C5D7C"/>
    <w:rsid w:val="009D52B9"/>
    <w:rsid w:val="00A25261"/>
    <w:rsid w:val="00A56ABD"/>
    <w:rsid w:val="00A96080"/>
    <w:rsid w:val="00AD335C"/>
    <w:rsid w:val="00AD4E18"/>
    <w:rsid w:val="00AD7569"/>
    <w:rsid w:val="00B01B36"/>
    <w:rsid w:val="00B36900"/>
    <w:rsid w:val="00B3772F"/>
    <w:rsid w:val="00B428B6"/>
    <w:rsid w:val="00B5098D"/>
    <w:rsid w:val="00BD3907"/>
    <w:rsid w:val="00BE6254"/>
    <w:rsid w:val="00C710E6"/>
    <w:rsid w:val="00C72FCC"/>
    <w:rsid w:val="00CB23A4"/>
    <w:rsid w:val="00CB578C"/>
    <w:rsid w:val="00CE0067"/>
    <w:rsid w:val="00CE0131"/>
    <w:rsid w:val="00CF5FF8"/>
    <w:rsid w:val="00D92EB6"/>
    <w:rsid w:val="00E5794E"/>
    <w:rsid w:val="00E62BEE"/>
    <w:rsid w:val="00E86DD1"/>
    <w:rsid w:val="00ED79AA"/>
    <w:rsid w:val="00F55F63"/>
    <w:rsid w:val="00FB2FFF"/>
    <w:rsid w:val="00FD4C9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387D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4E18"/>
    <w:rPr>
      <w:color w:val="0000FF" w:themeColor="hyperlink"/>
      <w:u w:val="single"/>
    </w:rPr>
  </w:style>
  <w:style w:type="character" w:styleId="Hipervnculovisitado">
    <w:name w:val="FollowedHyperlink"/>
    <w:basedOn w:val="Fuentedeprrafopredeter"/>
    <w:uiPriority w:val="99"/>
    <w:semiHidden/>
    <w:unhideWhenUsed/>
    <w:rsid w:val="005C2412"/>
    <w:rPr>
      <w:color w:val="800080" w:themeColor="followedHyperlink"/>
      <w:u w:val="single"/>
    </w:rPr>
  </w:style>
  <w:style w:type="table" w:styleId="Tablaconcuadrcula">
    <w:name w:val="Table Grid"/>
    <w:basedOn w:val="Tablanormal"/>
    <w:uiPriority w:val="59"/>
    <w:rsid w:val="005D2A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4E18"/>
    <w:rPr>
      <w:color w:val="0000FF" w:themeColor="hyperlink"/>
      <w:u w:val="single"/>
    </w:rPr>
  </w:style>
  <w:style w:type="character" w:styleId="Hipervnculovisitado">
    <w:name w:val="FollowedHyperlink"/>
    <w:basedOn w:val="Fuentedeprrafopredeter"/>
    <w:uiPriority w:val="99"/>
    <w:semiHidden/>
    <w:unhideWhenUsed/>
    <w:rsid w:val="005C2412"/>
    <w:rPr>
      <w:color w:val="800080" w:themeColor="followedHyperlink"/>
      <w:u w:val="single"/>
    </w:rPr>
  </w:style>
  <w:style w:type="table" w:styleId="Tablaconcuadrcula">
    <w:name w:val="Table Grid"/>
    <w:basedOn w:val="Tablanormal"/>
    <w:uiPriority w:val="59"/>
    <w:rsid w:val="005D2A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13838">
      <w:bodyDiv w:val="1"/>
      <w:marLeft w:val="0"/>
      <w:marRight w:val="0"/>
      <w:marTop w:val="0"/>
      <w:marBottom w:val="0"/>
      <w:divBdr>
        <w:top w:val="none" w:sz="0" w:space="0" w:color="auto"/>
        <w:left w:val="none" w:sz="0" w:space="0" w:color="auto"/>
        <w:bottom w:val="none" w:sz="0" w:space="0" w:color="auto"/>
        <w:right w:val="none" w:sz="0" w:space="0" w:color="auto"/>
      </w:divBdr>
    </w:div>
    <w:div w:id="517739919">
      <w:bodyDiv w:val="1"/>
      <w:marLeft w:val="0"/>
      <w:marRight w:val="0"/>
      <w:marTop w:val="0"/>
      <w:marBottom w:val="0"/>
      <w:divBdr>
        <w:top w:val="none" w:sz="0" w:space="0" w:color="auto"/>
        <w:left w:val="none" w:sz="0" w:space="0" w:color="auto"/>
        <w:bottom w:val="none" w:sz="0" w:space="0" w:color="auto"/>
        <w:right w:val="none" w:sz="0" w:space="0" w:color="auto"/>
      </w:divBdr>
    </w:div>
    <w:div w:id="1338384705">
      <w:bodyDiv w:val="1"/>
      <w:marLeft w:val="0"/>
      <w:marRight w:val="0"/>
      <w:marTop w:val="0"/>
      <w:marBottom w:val="0"/>
      <w:divBdr>
        <w:top w:val="none" w:sz="0" w:space="0" w:color="auto"/>
        <w:left w:val="none" w:sz="0" w:space="0" w:color="auto"/>
        <w:bottom w:val="none" w:sz="0" w:space="0" w:color="auto"/>
        <w:right w:val="none" w:sz="0" w:space="0" w:color="auto"/>
      </w:divBdr>
    </w:div>
    <w:div w:id="1395857827">
      <w:bodyDiv w:val="1"/>
      <w:marLeft w:val="0"/>
      <w:marRight w:val="0"/>
      <w:marTop w:val="0"/>
      <w:marBottom w:val="0"/>
      <w:divBdr>
        <w:top w:val="none" w:sz="0" w:space="0" w:color="auto"/>
        <w:left w:val="none" w:sz="0" w:space="0" w:color="auto"/>
        <w:bottom w:val="none" w:sz="0" w:space="0" w:color="auto"/>
        <w:right w:val="none" w:sz="0" w:space="0" w:color="auto"/>
      </w:divBdr>
    </w:div>
    <w:div w:id="1421290337">
      <w:bodyDiv w:val="1"/>
      <w:marLeft w:val="0"/>
      <w:marRight w:val="0"/>
      <w:marTop w:val="0"/>
      <w:marBottom w:val="0"/>
      <w:divBdr>
        <w:top w:val="none" w:sz="0" w:space="0" w:color="auto"/>
        <w:left w:val="none" w:sz="0" w:space="0" w:color="auto"/>
        <w:bottom w:val="none" w:sz="0" w:space="0" w:color="auto"/>
        <w:right w:val="none" w:sz="0" w:space="0" w:color="auto"/>
      </w:divBdr>
    </w:div>
    <w:div w:id="1467579628">
      <w:bodyDiv w:val="1"/>
      <w:marLeft w:val="0"/>
      <w:marRight w:val="0"/>
      <w:marTop w:val="0"/>
      <w:marBottom w:val="0"/>
      <w:divBdr>
        <w:top w:val="none" w:sz="0" w:space="0" w:color="auto"/>
        <w:left w:val="none" w:sz="0" w:space="0" w:color="auto"/>
        <w:bottom w:val="none" w:sz="0" w:space="0" w:color="auto"/>
        <w:right w:val="none" w:sz="0" w:space="0" w:color="auto"/>
      </w:divBdr>
    </w:div>
    <w:div w:id="1514033343">
      <w:bodyDiv w:val="1"/>
      <w:marLeft w:val="0"/>
      <w:marRight w:val="0"/>
      <w:marTop w:val="0"/>
      <w:marBottom w:val="0"/>
      <w:divBdr>
        <w:top w:val="none" w:sz="0" w:space="0" w:color="auto"/>
        <w:left w:val="none" w:sz="0" w:space="0" w:color="auto"/>
        <w:bottom w:val="none" w:sz="0" w:space="0" w:color="auto"/>
        <w:right w:val="none" w:sz="0" w:space="0" w:color="auto"/>
      </w:divBdr>
    </w:div>
    <w:div w:id="1523008675">
      <w:bodyDiv w:val="1"/>
      <w:marLeft w:val="0"/>
      <w:marRight w:val="0"/>
      <w:marTop w:val="0"/>
      <w:marBottom w:val="0"/>
      <w:divBdr>
        <w:top w:val="none" w:sz="0" w:space="0" w:color="auto"/>
        <w:left w:val="none" w:sz="0" w:space="0" w:color="auto"/>
        <w:bottom w:val="none" w:sz="0" w:space="0" w:color="auto"/>
        <w:right w:val="none" w:sz="0" w:space="0" w:color="auto"/>
      </w:divBdr>
    </w:div>
    <w:div w:id="1623615956">
      <w:bodyDiv w:val="1"/>
      <w:marLeft w:val="0"/>
      <w:marRight w:val="0"/>
      <w:marTop w:val="0"/>
      <w:marBottom w:val="0"/>
      <w:divBdr>
        <w:top w:val="none" w:sz="0" w:space="0" w:color="auto"/>
        <w:left w:val="none" w:sz="0" w:space="0" w:color="auto"/>
        <w:bottom w:val="none" w:sz="0" w:space="0" w:color="auto"/>
        <w:right w:val="none" w:sz="0" w:space="0" w:color="auto"/>
      </w:divBdr>
    </w:div>
    <w:div w:id="1687515952">
      <w:bodyDiv w:val="1"/>
      <w:marLeft w:val="0"/>
      <w:marRight w:val="0"/>
      <w:marTop w:val="0"/>
      <w:marBottom w:val="0"/>
      <w:divBdr>
        <w:top w:val="none" w:sz="0" w:space="0" w:color="auto"/>
        <w:left w:val="none" w:sz="0" w:space="0" w:color="auto"/>
        <w:bottom w:val="none" w:sz="0" w:space="0" w:color="auto"/>
        <w:right w:val="none" w:sz="0" w:space="0" w:color="auto"/>
      </w:divBdr>
    </w:div>
    <w:div w:id="1753773102">
      <w:bodyDiv w:val="1"/>
      <w:marLeft w:val="0"/>
      <w:marRight w:val="0"/>
      <w:marTop w:val="0"/>
      <w:marBottom w:val="0"/>
      <w:divBdr>
        <w:top w:val="none" w:sz="0" w:space="0" w:color="auto"/>
        <w:left w:val="none" w:sz="0" w:space="0" w:color="auto"/>
        <w:bottom w:val="none" w:sz="0" w:space="0" w:color="auto"/>
        <w:right w:val="none" w:sz="0" w:space="0" w:color="auto"/>
      </w:divBdr>
    </w:div>
    <w:div w:id="1804737820">
      <w:bodyDiv w:val="1"/>
      <w:marLeft w:val="0"/>
      <w:marRight w:val="0"/>
      <w:marTop w:val="0"/>
      <w:marBottom w:val="0"/>
      <w:divBdr>
        <w:top w:val="none" w:sz="0" w:space="0" w:color="auto"/>
        <w:left w:val="none" w:sz="0" w:space="0" w:color="auto"/>
        <w:bottom w:val="none" w:sz="0" w:space="0" w:color="auto"/>
        <w:right w:val="none" w:sz="0" w:space="0" w:color="auto"/>
      </w:divBdr>
    </w:div>
    <w:div w:id="1866094742">
      <w:bodyDiv w:val="1"/>
      <w:marLeft w:val="0"/>
      <w:marRight w:val="0"/>
      <w:marTop w:val="0"/>
      <w:marBottom w:val="0"/>
      <w:divBdr>
        <w:top w:val="none" w:sz="0" w:space="0" w:color="auto"/>
        <w:left w:val="none" w:sz="0" w:space="0" w:color="auto"/>
        <w:bottom w:val="none" w:sz="0" w:space="0" w:color="auto"/>
        <w:right w:val="none" w:sz="0" w:space="0" w:color="auto"/>
      </w:divBdr>
    </w:div>
    <w:div w:id="1942101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inotate.github.io/" TargetMode="External"/><Relationship Id="rId6" Type="http://schemas.openxmlformats.org/officeDocument/2006/relationships/hyperlink" Target="http://www.repeatmasker.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3829</Words>
  <Characters>21062</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ebd</Company>
  <LinksUpToDate>false</LinksUpToDate>
  <CharactersWithSpaces>24842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consevol2013</dc:creator>
  <cp:keywords/>
  <dc:description/>
  <cp:lastModifiedBy>Santiago Montero Mendieta</cp:lastModifiedBy>
  <cp:revision>22</cp:revision>
  <dcterms:created xsi:type="dcterms:W3CDTF">2016-10-27T10:28:00Z</dcterms:created>
  <dcterms:modified xsi:type="dcterms:W3CDTF">2016-11-06T22:03:00Z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3fde6d9b-6462-38fb-8e15-25b553ff9d0f</vt:lpwstr>
  </property>
  <property fmtid="{D5CDD505-2E9C-101B-9397-08002B2CF9AE}" pid="4" name="Mendeley Citation Style_1">
    <vt:lpwstr>http://www.zotero.org/styles/molecular-ecology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