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41F32"/>
          <w:sz w:val="56"/>
        </w:rPr>
        <w:t>LECCIONES APRENDIDAS</w:t>
      </w:r>
    </w:p>
    <w:p>
      <w:pPr>
        <w:jc w:val="center"/>
      </w:pPr>
      <w:r>
        <w:rPr>
          <w:b/>
          <w:color w:val="2B5BB0"/>
          <w:sz w:val="36"/>
        </w:rPr>
        <w:t>Portafolio de Ingeniería de Requisitos</w:t>
      </w:r>
    </w:p>
    <w:p>
      <w:pPr>
        <w:jc w:val="center"/>
      </w:pPr>
      <w:r>
        <w:rPr>
          <w:color w:val="697687"/>
          <w:sz w:val="22"/>
        </w:rPr>
        <w:t>Universidad Pontificia Bolivariana • Curso Ingeniería de Requisitos</w:t>
      </w:r>
    </w:p>
    <w:p/>
    <w:p>
      <w:pPr>
        <w:pStyle w:val="Heading1"/>
      </w:pPr>
      <w:r>
        <w:t>1. Introducción</w:t>
      </w:r>
    </w:p>
    <w:p>
      <w:r>
        <w:t>Este documento presenta las principales lecciones aprendidas durante la organización, documentación y trazabilidad de los artefactos desarrollados en el curso de Ingeniería de Requisitos. La reflexión se construye a partir del trabajo realizado con los casos de Operaciones Aéreas, Vehículo de Conducción, Empresa de Mudanza y Dietas al Día, tomando este último como caso para la matriz de trazabilidad.</w:t>
      </w:r>
    </w:p>
    <w:p>
      <w:r>
        <w:t>El análisis se centra en tres preguntas de cierre: qué práctica funcionó y debería repetirse, qué técnica presentó una dificultad y cómo se detectó, y qué se haría diferente desde el inicio de un proyecto.</w:t>
      </w:r>
    </w:p>
    <w:p>
      <w:pPr>
        <w:pStyle w:val="Heading1"/>
      </w:pPr>
      <w:r>
        <w:t>2. ¿Qué práctica funciona y por qué debería repetirse?</w:t>
      </w:r>
    </w:p>
    <w:p>
      <w:pPr>
        <w:pStyle w:val="Heading2"/>
      </w:pPr>
      <w:r>
        <w:t>Práctica identificada: uso de identificadores, metadatos y relaciones entre artefactos</w:t>
      </w:r>
    </w:p>
    <w:p>
      <w:r>
        <w:t>La práctica que demostró mayor utilidad fue organizar los artefactos mediante identificadores y metadatos, manteniendo además una relación explícita entre los diferentes elementos del proyecto. En el portafolio se consideraron como metadatos mínimos el ID único, la versión, el estado final, el autor o revisor, la fecha de cierre y los artefactos relacionados.</w:t>
      </w:r>
    </w:p>
    <w:p>
      <w:r>
        <w:t>Esta práctica debería repetirse porque facilita localizar un artefacto, conocer su estado y entender con qué otros elementos se relaciona. También permite que el repositorio sea más navegable y que la revisión del trabajo no dependa de explicaciones adicionales de los autores.</w:t>
      </w:r>
    </w:p>
    <w:p>
      <w:r>
        <w:rPr>
          <w:b/>
        </w:rPr>
        <w:t xml:space="preserve">En el caso de Dietas al Día, </w:t>
      </w:r>
      <w:r>
        <w:t>la identificación del EPC-28 como requisito seleccionado y su relación con los criterios de aceptación, el prototipo, el código y la matriz permitió estructurar una cadena de trazabilidad visible. Por esta razón, la identificación temprana de artefactos y sus relaciones debe mantenerse desde las primeras etapas de futuros proyectos.</w:t>
      </w:r>
    </w:p>
    <w:p>
      <w:pPr>
        <w:pStyle w:val="Heading1"/>
      </w:pPr>
      <w:r>
        <w:t>3. ¿Qué técnica falló y cómo se detectó?</w:t>
      </w:r>
    </w:p>
    <w:p>
      <w:pPr>
        <w:pStyle w:val="Heading2"/>
      </w:pPr>
      <w:r>
        <w:t>Dificultad identificada: completar la trazabilidad hasta las pruebas</w:t>
      </w:r>
    </w:p>
    <w:p>
      <w:r>
        <w:t>La principal dificultad apareció al intentar completar la trazabilidad del requisito EPC-28 hasta los casos de prueba y sus resultados. Para este requisito se cuenta con su descripción, los criterios de aceptación CA1–CA4, el prototipo y el repositorio de código; sin embargo, no se suministraron casos de prueba formales ni resultados de ejecución específicos para el EPC-28.</w:t>
      </w:r>
    </w:p>
    <w:p>
      <w:r>
        <w:t>La situación se detectó durante la construcción de la matriz de trazabilidad. Al revisar las columnas correspondientes al ID del caso de prueba, resultado de la prueba y fecha de la última prueba, no existía evidencia documental que permitiera diligenciarlas como una prueba ejecutada.</w:t>
      </w:r>
    </w:p>
    <w:p>
      <w:r>
        <w:t>Por esta razón, se decidió mantener esos campos como no ejecutados o pendientes de validación, en lugar de crear resultados hipotéticos. Esto permitió que la matriz reflejara de manera transparente hasta dónde llegaba la evidencia disponible y dónde existía una brecha de validación.</w:t>
      </w:r>
    </w:p>
    <w:p>
      <w:pPr>
        <w:pStyle w:val="Heading1"/>
      </w:pPr>
      <w:r>
        <w:t>4. ¿Qué haríamos diferente desde el inicio?</w:t>
      </w:r>
    </w:p>
    <w:p>
      <w:pPr>
        <w:pStyle w:val="Heading2"/>
      </w:pPr>
      <w:r>
        <w:t>Acción propuesta: construir la trazabilidad de manera continua</w:t>
      </w:r>
    </w:p>
    <w:p>
      <w:r>
        <w:t>Desde el inicio de un proyecto estableceríamos una convención común para identificar los artefactos y registrar sus metadatos. Además, cada requisito debería quedar asociado desde su definición con sus criterios de aceptación, los artefactos que lo implementan y los casos de prueba que permitirán verificarlo.</w:t>
      </w:r>
    </w:p>
    <w:p>
      <w:r>
        <w:t>En concreto, desde las primeras etapas se debería:</w:t>
      </w:r>
    </w:p>
    <w:p>
      <w:pPr>
        <w:pStyle w:val="ListBullet"/>
        <w:spacing w:after="80"/>
      </w:pPr>
      <w:r>
        <w:t>Asignar un identificador único a cada requisito y artefacto.</w:t>
      </w:r>
    </w:p>
    <w:p>
      <w:pPr>
        <w:pStyle w:val="ListBullet"/>
        <w:spacing w:after="80"/>
      </w:pPr>
      <w:r>
        <w:t>Definir y mantener los metadatos de cada artefacto.</w:t>
      </w:r>
    </w:p>
    <w:p>
      <w:pPr>
        <w:pStyle w:val="ListBullet"/>
        <w:spacing w:after="80"/>
      </w:pPr>
      <w:r>
        <w:t>Redactar criterios de aceptación verificables junto con el requisito.</w:t>
      </w:r>
    </w:p>
    <w:p>
      <w:pPr>
        <w:pStyle w:val="ListBullet"/>
        <w:spacing w:after="80"/>
      </w:pPr>
      <w:r>
        <w:t>Crear los casos de prueba asociados antes de llegar a la etapa final de validación.</w:t>
      </w:r>
    </w:p>
    <w:p>
      <w:pPr>
        <w:pStyle w:val="ListBullet"/>
        <w:spacing w:after="80"/>
      </w:pPr>
      <w:r>
        <w:t>Registrar responsables, versiones y fechas de actualización.</w:t>
      </w:r>
    </w:p>
    <w:p>
      <w:pPr>
        <w:pStyle w:val="ListBullet"/>
        <w:spacing w:after="80"/>
      </w:pPr>
      <w:r>
        <w:t>Mantener la matriz de trazabilidad actualizada durante el desarrollo y no únicamente al finalizar.</w:t>
      </w:r>
    </w:p>
    <w:p>
      <w:pPr>
        <w:pStyle w:val="ListBullet"/>
        <w:spacing w:after="80"/>
      </w:pPr>
      <w:r>
        <w:t>Relacionar los cambios mediante RFC cuando exista una solicitud formal de modificación.</w:t>
      </w:r>
    </w:p>
    <w:p>
      <w:pPr>
        <w:pStyle w:val="Heading1"/>
      </w:pPr>
      <w:r>
        <w:t>5. Síntesis de aprendizajes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B5BB0"/>
          </w:tcPr>
          <w:p>
            <w:pPr>
              <w:spacing w:after="40"/>
            </w:pPr>
            <w:r/>
            <w:r>
              <w:rPr>
                <w:rFonts w:ascii="Aptos" w:hAnsi="Aptos"/>
                <w:b/>
                <w:color w:val="FFFFFF"/>
                <w:sz w:val="20"/>
              </w:rPr>
              <w:t>Pregunta</w:t>
            </w:r>
          </w:p>
        </w:tc>
        <w:tc>
          <w:tcPr>
            <w:tcW w:type="dxa" w:w="3312"/>
            <w:vAlign w:val="center"/>
            <w:shd w:fill="2B5BB0"/>
          </w:tcPr>
          <w:p>
            <w:pPr>
              <w:spacing w:after="40"/>
            </w:pPr>
            <w:r/>
            <w:r>
              <w:rPr>
                <w:rFonts w:ascii="Aptos" w:hAnsi="Aptos"/>
                <w:b/>
                <w:color w:val="FFFFFF"/>
                <w:sz w:val="20"/>
              </w:rPr>
              <w:t>Aprendizaje principal</w:t>
            </w:r>
          </w:p>
        </w:tc>
        <w:tc>
          <w:tcPr>
            <w:tcW w:type="dxa" w:w="3312"/>
            <w:vAlign w:val="center"/>
            <w:shd w:fill="2B5BB0"/>
          </w:tcPr>
          <w:p>
            <w:pPr>
              <w:spacing w:after="40"/>
            </w:pPr>
            <w:r/>
            <w:r>
              <w:rPr>
                <w:rFonts w:ascii="Aptos" w:hAnsi="Aptos"/>
                <w:b/>
                <w:color w:val="FFFFFF"/>
                <w:sz w:val="20"/>
              </w:rPr>
              <w:t>Aplicación futura</w:t>
            </w:r>
          </w:p>
        </w:tc>
      </w:tr>
      <w:tr>
        <w:tc>
          <w:tcPr>
            <w:tcW w:type="dxa" w:w="3312"/>
            <w:vAlign w:val="center"/>
          </w:tcPr>
          <w:p>
            <w:pPr>
              <w:spacing w:after="40"/>
            </w:pPr>
            <w:r/>
            <w:r>
              <w:rPr>
                <w:rFonts w:ascii="Aptos" w:hAnsi="Aptos"/>
                <w:b w:val="0"/>
                <w:sz w:val="19"/>
              </w:rPr>
              <w:t>¿Qué práctica funciona?</w:t>
            </w:r>
          </w:p>
        </w:tc>
        <w:tc>
          <w:tcPr>
            <w:tcW w:type="dxa" w:w="3312"/>
            <w:vAlign w:val="center"/>
          </w:tcPr>
          <w:p>
            <w:pPr>
              <w:spacing w:after="40"/>
            </w:pPr>
            <w:r/>
            <w:r>
              <w:rPr>
                <w:rFonts w:ascii="Aptos" w:hAnsi="Aptos"/>
                <w:b w:val="0"/>
                <w:sz w:val="19"/>
              </w:rPr>
              <w:t>Identificar artefactos con metadatos y mantener sus relaciones.</w:t>
            </w:r>
          </w:p>
        </w:tc>
        <w:tc>
          <w:tcPr>
            <w:tcW w:type="dxa" w:w="3312"/>
            <w:vAlign w:val="center"/>
          </w:tcPr>
          <w:p>
            <w:pPr>
              <w:spacing w:after="40"/>
            </w:pPr>
            <w:r/>
            <w:r>
              <w:rPr>
                <w:rFonts w:ascii="Aptos" w:hAnsi="Aptos"/>
                <w:b w:val="0"/>
                <w:sz w:val="19"/>
              </w:rPr>
              <w:t>Aplicarla desde el inicio para facilitar seguimiento y auditoría.</w:t>
            </w:r>
          </w:p>
        </w:tc>
      </w:tr>
      <w:tr>
        <w:tc>
          <w:tcPr>
            <w:tcW w:type="dxa" w:w="3312"/>
            <w:vAlign w:val="center"/>
          </w:tcPr>
          <w:p>
            <w:pPr>
              <w:spacing w:after="40"/>
            </w:pPr>
            <w:r/>
            <w:r>
              <w:rPr>
                <w:rFonts w:ascii="Aptos" w:hAnsi="Aptos"/>
                <w:b w:val="0"/>
                <w:sz w:val="19"/>
              </w:rPr>
              <w:t>¿Qué técnica falló?</w:t>
            </w:r>
          </w:p>
        </w:tc>
        <w:tc>
          <w:tcPr>
            <w:tcW w:type="dxa" w:w="3312"/>
            <w:vAlign w:val="center"/>
          </w:tcPr>
          <w:p>
            <w:pPr>
              <w:spacing w:after="40"/>
            </w:pPr>
            <w:r/>
            <w:r>
              <w:rPr>
                <w:rFonts w:ascii="Aptos" w:hAnsi="Aptos"/>
                <w:b w:val="0"/>
                <w:sz w:val="19"/>
              </w:rPr>
              <w:t>La trazabilidad hasta pruebas quedó incompleta por ausencia de casos de prueba formales.</w:t>
            </w:r>
          </w:p>
        </w:tc>
        <w:tc>
          <w:tcPr>
            <w:tcW w:type="dxa" w:w="3312"/>
            <w:vAlign w:val="center"/>
          </w:tcPr>
          <w:p>
            <w:pPr>
              <w:spacing w:after="40"/>
            </w:pPr>
            <w:r/>
            <w:r>
              <w:rPr>
                <w:rFonts w:ascii="Aptos" w:hAnsi="Aptos"/>
                <w:b w:val="0"/>
                <w:sz w:val="19"/>
              </w:rPr>
              <w:t>Detectar tempranamente los campos sin evidencia y crear las pruebas antes de cerrar el requisito.</w:t>
            </w:r>
          </w:p>
        </w:tc>
      </w:tr>
      <w:tr>
        <w:tc>
          <w:tcPr>
            <w:tcW w:type="dxa" w:w="3312"/>
            <w:vAlign w:val="center"/>
          </w:tcPr>
          <w:p>
            <w:pPr>
              <w:spacing w:after="40"/>
            </w:pPr>
            <w:r/>
            <w:r>
              <w:rPr>
                <w:rFonts w:ascii="Aptos" w:hAnsi="Aptos"/>
                <w:b w:val="0"/>
                <w:sz w:val="19"/>
              </w:rPr>
              <w:t>¿Qué haríamos diferente?</w:t>
            </w:r>
          </w:p>
        </w:tc>
        <w:tc>
          <w:tcPr>
            <w:tcW w:type="dxa" w:w="3312"/>
            <w:vAlign w:val="center"/>
          </w:tcPr>
          <w:p>
            <w:pPr>
              <w:spacing w:after="40"/>
            </w:pPr>
            <w:r/>
            <w:r>
              <w:rPr>
                <w:rFonts w:ascii="Aptos" w:hAnsi="Aptos"/>
                <w:b w:val="0"/>
                <w:sz w:val="19"/>
              </w:rPr>
              <w:t>Construir la trazabilidad de forma continua.</w:t>
            </w:r>
          </w:p>
        </w:tc>
        <w:tc>
          <w:tcPr>
            <w:tcW w:type="dxa" w:w="3312"/>
            <w:vAlign w:val="center"/>
          </w:tcPr>
          <w:p>
            <w:pPr>
              <w:spacing w:after="40"/>
            </w:pPr>
            <w:r/>
            <w:r>
              <w:rPr>
                <w:rFonts w:ascii="Aptos" w:hAnsi="Aptos"/>
                <w:b w:val="0"/>
                <w:sz w:val="19"/>
              </w:rPr>
              <w:t>Relacionar requisito, criterios, artefactos y pruebas durante todo el ciclo de trabajo.</w:t>
            </w:r>
          </w:p>
        </w:tc>
      </w:tr>
    </w:tbl>
    <w:p>
      <w:pPr>
        <w:pStyle w:val="Heading1"/>
      </w:pPr>
      <w:r>
        <w:t>6. Conclusión</w:t>
      </w:r>
    </w:p>
    <w:p>
      <w:r>
        <w:t>El ejercicio permitió comprobar que la trazabilidad no consiste únicamente en completar una matriz, sino en mantener relaciones y evidencia durante el ciclo de vida de los requisitos. La organización mediante metadatos y un repositorio estructurado facilita el seguimiento, mientras que la ausencia de casos de prueba muestra la importancia de planificar la validación desde etapas tempranas.</w:t>
      </w:r>
    </w:p>
    <w:p>
      <w:r>
        <w:t>El principal aprendizaje es que una trazabilidad útil debe construirse progresivamente: cada nuevo artefacto debe poder relacionarse con el requisito que lo origina y, cuando corresponda, con la evidencia que demuestra su cumplimiento.</w:t>
      </w:r>
    </w:p>
    <w:p>
      <w:pPr>
        <w:pStyle w:val="Heading1"/>
      </w:pPr>
      <w:r>
        <w:t>7. Nota sobre la evidencia</w:t>
      </w:r>
    </w:p>
    <w:p>
      <w:r>
        <w:rPr>
          <w:i/>
        </w:rPr>
        <w:t>Las conclusiones anteriores se mantienen dentro de la evidencia disponible en los artefactos del curso. En particular, para Dietas al Día no se inventaron casos de prueba, resultados ni RFC que no estuvieran documentados.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F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B5BB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5BB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F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