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E27C" w14:textId="5BD4D08B" w:rsidR="00D50818" w:rsidRPr="003D45F6" w:rsidRDefault="00557E80" w:rsidP="002650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45F6">
        <w:rPr>
          <w:sz w:val="20"/>
          <w:szCs w:val="20"/>
        </w:rPr>
        <w:t>Entropy</w:t>
      </w:r>
      <w:r w:rsidR="006664C5" w:rsidRPr="003D45F6">
        <w:rPr>
          <w:sz w:val="20"/>
          <w:szCs w:val="20"/>
        </w:rPr>
        <w:t xml:space="preserve"> = weighted sum of all digits with non zero values regarding the chances of an event occurring</w:t>
      </w:r>
    </w:p>
    <w:p w14:paraId="2EF16234" w14:textId="646A3D37" w:rsidR="006664C5" w:rsidRPr="003D45F6" w:rsidRDefault="006664C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H= 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</m:oMath>
      </m:oMathPara>
    </w:p>
    <w:p w14:paraId="5ABB61C9" w14:textId="2CB032B7" w:rsidR="006664C5" w:rsidRPr="003D45F6" w:rsidRDefault="006664C5">
      <w:pPr>
        <w:rPr>
          <w:rFonts w:eastAsiaTheme="minorEastAsia"/>
          <w:sz w:val="20"/>
          <w:szCs w:val="20"/>
        </w:rPr>
      </w:pPr>
      <w:r w:rsidRPr="003D45F6">
        <w:rPr>
          <w:rFonts w:eastAsiaTheme="minorEastAsia"/>
          <w:sz w:val="20"/>
          <w:szCs w:val="20"/>
        </w:rPr>
        <w:t>Where H = entropy, P(E</w:t>
      </w:r>
      <w:r w:rsidRPr="003D45F6">
        <w:rPr>
          <w:rFonts w:eastAsiaTheme="minorEastAsia"/>
          <w:sz w:val="20"/>
          <w:szCs w:val="20"/>
          <w:vertAlign w:val="subscript"/>
        </w:rPr>
        <w:t>i</w:t>
      </w:r>
      <w:r w:rsidRPr="003D45F6">
        <w:rPr>
          <w:rFonts w:eastAsiaTheme="minorEastAsia"/>
          <w:sz w:val="20"/>
          <w:szCs w:val="20"/>
        </w:rPr>
        <w:t xml:space="preserve">) = probability of event </w:t>
      </w:r>
      <w:r w:rsidR="00FB7415" w:rsidRPr="003D45F6">
        <w:rPr>
          <w:rFonts w:eastAsiaTheme="minorEastAsia"/>
          <w:sz w:val="20"/>
          <w:szCs w:val="20"/>
        </w:rPr>
        <w:t>i</w:t>
      </w:r>
      <w:r w:rsidRPr="003D45F6">
        <w:rPr>
          <w:rFonts w:eastAsiaTheme="minorEastAsia"/>
          <w:sz w:val="20"/>
          <w:szCs w:val="20"/>
        </w:rPr>
        <w:t xml:space="preserve"> and b = encoding base</w:t>
      </w:r>
      <w:r w:rsidR="002650C0" w:rsidRPr="003D45F6">
        <w:rPr>
          <w:rFonts w:eastAsiaTheme="minorEastAsia"/>
          <w:sz w:val="20"/>
          <w:szCs w:val="20"/>
        </w:rPr>
        <w:t>. Entropy reaches max when P(E</w:t>
      </w:r>
      <w:r w:rsidR="002650C0" w:rsidRPr="003D45F6">
        <w:rPr>
          <w:rFonts w:eastAsiaTheme="minorEastAsia"/>
          <w:sz w:val="20"/>
          <w:szCs w:val="20"/>
          <w:vertAlign w:val="subscript"/>
        </w:rPr>
        <w:t>i</w:t>
      </w:r>
      <w:r w:rsidR="002650C0" w:rsidRPr="003D45F6">
        <w:rPr>
          <w:rFonts w:eastAsiaTheme="minorEastAsia"/>
          <w:sz w:val="20"/>
          <w:szCs w:val="20"/>
        </w:rPr>
        <w:t>) is the inverse of an integer</w:t>
      </w:r>
    </w:p>
    <w:p w14:paraId="7E9656B1" w14:textId="411C2CF1" w:rsidR="002650C0" w:rsidRPr="003D45F6" w:rsidRDefault="002650C0" w:rsidP="002650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45F6">
        <w:rPr>
          <w:sz w:val="20"/>
          <w:szCs w:val="20"/>
        </w:rPr>
        <w:t>Huffman coding, calculate probabilities of each symbol appearing, then form a tree by combining the symbols that appear least until there is only 2 branches. Then assign codes by adding a 1 to the symbol with lower appearance and 0 to the other</w:t>
      </w:r>
    </w:p>
    <w:p w14:paraId="70F4F21D" w14:textId="3B314AC7" w:rsidR="002650C0" w:rsidRPr="003D45F6" w:rsidRDefault="002650C0" w:rsidP="002650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45F6">
        <w:rPr>
          <w:sz w:val="20"/>
          <w:szCs w:val="20"/>
        </w:rPr>
        <w:t>Avg Huffman code length is P(E</w:t>
      </w:r>
      <w:r w:rsidRPr="003D45F6">
        <w:rPr>
          <w:sz w:val="20"/>
          <w:szCs w:val="20"/>
          <w:vertAlign w:val="subscript"/>
        </w:rPr>
        <w:t>i</w:t>
      </w:r>
      <w:r w:rsidRPr="003D45F6">
        <w:rPr>
          <w:sz w:val="20"/>
          <w:szCs w:val="20"/>
        </w:rPr>
        <w:t>)*code length.</w:t>
      </w:r>
    </w:p>
    <w:p w14:paraId="6D0E76FA" w14:textId="39613408" w:rsidR="004E528A" w:rsidRPr="003D45F6" w:rsidRDefault="004E528A" w:rsidP="002650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45F6">
        <w:rPr>
          <w:sz w:val="20"/>
          <w:szCs w:val="20"/>
        </w:rPr>
        <w:t>Optimal code length</w:t>
      </w:r>
      <w:r w:rsidR="003D45F6" w:rsidRPr="003D45F6">
        <w:rPr>
          <w:sz w:val="20"/>
          <w:szCs w:val="20"/>
        </w:rPr>
        <w:t>/</w:t>
      </w:r>
      <w:r w:rsidR="00274C12" w:rsidRPr="003D45F6">
        <w:rPr>
          <w:sz w:val="20"/>
          <w:szCs w:val="20"/>
        </w:rPr>
        <w:t>efficiency</w:t>
      </w:r>
      <w:r w:rsidRPr="003D45F6">
        <w:rPr>
          <w:sz w:val="20"/>
          <w:szCs w:val="20"/>
        </w:rPr>
        <w:t xml:space="preserve"> is equal to message length times entropy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B4B8F" w:rsidRPr="003D45F6" w14:paraId="71DE3FDB" w14:textId="77777777" w:rsidTr="00FB4B8F">
        <w:tc>
          <w:tcPr>
            <w:tcW w:w="5395" w:type="dxa"/>
          </w:tcPr>
          <w:p w14:paraId="13910915" w14:textId="32B9703C" w:rsidR="00FB4B8F" w:rsidRPr="003D45F6" w:rsidRDefault="00FB4B8F" w:rsidP="00FB4B8F">
            <w:pPr>
              <w:rPr>
                <w:sz w:val="20"/>
                <w:szCs w:val="20"/>
              </w:rPr>
            </w:pPr>
            <w:r w:rsidRPr="003D45F6">
              <w:rPr>
                <w:noProof/>
                <w:sz w:val="20"/>
                <w:szCs w:val="20"/>
              </w:rPr>
              <w:drawing>
                <wp:inline distT="0" distB="0" distL="0" distR="0" wp14:anchorId="0F136E2A" wp14:editId="200883F3">
                  <wp:extent cx="2655418" cy="18914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402" cy="190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E162034" w14:textId="4C6D08E8" w:rsidR="00FB4B8F" w:rsidRPr="003D45F6" w:rsidRDefault="00FB4B8F" w:rsidP="00FB4B8F">
            <w:pPr>
              <w:rPr>
                <w:sz w:val="20"/>
                <w:szCs w:val="20"/>
              </w:rPr>
            </w:pPr>
            <w:r w:rsidRPr="003D45F6">
              <w:rPr>
                <w:noProof/>
                <w:sz w:val="20"/>
                <w:szCs w:val="20"/>
              </w:rPr>
              <w:drawing>
                <wp:inline distT="0" distB="0" distL="0" distR="0" wp14:anchorId="0DFB7D6F" wp14:editId="6881AEAA">
                  <wp:extent cx="1416409" cy="1843431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501" cy="186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D30C5" w14:textId="5C3E11A9" w:rsidR="00FB4B8F" w:rsidRPr="003D45F6" w:rsidRDefault="004E528A" w:rsidP="004E52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45F6">
        <w:rPr>
          <w:sz w:val="20"/>
          <w:szCs w:val="20"/>
        </w:rPr>
        <w:t>Numeric coding, calculate probabilities of each message</w:t>
      </w:r>
      <w:r w:rsidR="002B2185" w:rsidRPr="003D45F6">
        <w:rPr>
          <w:sz w:val="20"/>
          <w:szCs w:val="20"/>
        </w:rPr>
        <w:t xml:space="preserve">, set them on a scale, then for each successive part of the message, replicate the scale at the width of the </w:t>
      </w:r>
      <w:r w:rsidR="00991F31" w:rsidRPr="003D45F6">
        <w:rPr>
          <w:sz w:val="20"/>
          <w:szCs w:val="20"/>
        </w:rPr>
        <w:t>value</w:t>
      </w:r>
    </w:p>
    <w:p w14:paraId="1A40D9EA" w14:textId="54386CF7" w:rsidR="002B2185" w:rsidRPr="003D45F6" w:rsidRDefault="002B2185" w:rsidP="002B2185">
      <w:pPr>
        <w:rPr>
          <w:sz w:val="20"/>
          <w:szCs w:val="20"/>
        </w:rPr>
      </w:pPr>
      <w:r w:rsidRPr="003D45F6">
        <w:rPr>
          <w:noProof/>
          <w:sz w:val="20"/>
          <w:szCs w:val="20"/>
        </w:rPr>
        <w:drawing>
          <wp:inline distT="0" distB="0" distL="0" distR="0" wp14:anchorId="07030F5B" wp14:editId="62B07E8C">
            <wp:extent cx="3350361" cy="1610655"/>
            <wp:effectExtent l="0" t="0" r="2540" b="889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748" cy="16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2124" w14:textId="68FB5BA0" w:rsidR="00991F31" w:rsidRPr="003D45F6" w:rsidRDefault="00DC29A6" w:rsidP="00DC29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45F6">
        <w:rPr>
          <w:sz w:val="20"/>
          <w:szCs w:val="20"/>
        </w:rPr>
        <w:t>To represent a binary number with an interval for example 0101, write as a decimal 0.0101. Then for a lower bound add recurring 0 after it 0.0101</w:t>
      </w:r>
      <w:r w:rsidRPr="003D45F6">
        <w:rPr>
          <w:sz w:val="20"/>
          <w:szCs w:val="20"/>
          <w:u w:val="single"/>
        </w:rPr>
        <w:t>0</w:t>
      </w:r>
      <w:r w:rsidRPr="003D45F6">
        <w:rPr>
          <w:sz w:val="20"/>
          <w:szCs w:val="20"/>
        </w:rPr>
        <w:t>, and for the upper bound, add recurring 1 0.0101</w:t>
      </w:r>
      <w:r w:rsidRPr="003D45F6">
        <w:rPr>
          <w:sz w:val="20"/>
          <w:szCs w:val="20"/>
          <w:u w:val="single"/>
        </w:rPr>
        <w:t>1</w:t>
      </w:r>
      <w:r w:rsidRPr="003D45F6">
        <w:rPr>
          <w:sz w:val="20"/>
          <w:szCs w:val="20"/>
        </w:rPr>
        <w:t>. Then add by the powers of 2. For the upper bound, use a value of 1 instead of the last 0 that appears before the recurring 1</w:t>
      </w:r>
    </w:p>
    <w:p w14:paraId="0DF6E78A" w14:textId="49317F2C" w:rsidR="00DC29A6" w:rsidRPr="003D45F6" w:rsidRDefault="00DC29A6" w:rsidP="00DC29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45F6">
        <w:rPr>
          <w:noProof/>
          <w:sz w:val="20"/>
          <w:szCs w:val="20"/>
        </w:rPr>
        <w:drawing>
          <wp:inline distT="0" distB="0" distL="0" distR="0" wp14:anchorId="0AE893C7" wp14:editId="64E7AF37">
            <wp:extent cx="2346425" cy="19751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487" cy="2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DC6B" w14:textId="5850A1CF" w:rsidR="002B2185" w:rsidRPr="003D45F6" w:rsidRDefault="003D45F6" w:rsidP="002B218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code length=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upper-lower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85C62B6" w14:textId="095FFE51" w:rsidR="003D45F6" w:rsidRDefault="003D45F6" w:rsidP="003D45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</w:t>
      </w:r>
      <w:r w:rsidR="003F3097">
        <w:rPr>
          <w:sz w:val="20"/>
          <w:szCs w:val="20"/>
        </w:rPr>
        <w:t xml:space="preserve"> find a good, encoded range, convert upper and lower bounds to binary. Truncate to code length and add or remove 1 until the truncated binary is between upper and lower bounds</w:t>
      </w:r>
    </w:p>
    <w:p w14:paraId="42AC322E" w14:textId="20B6D9C3" w:rsidR="009220C9" w:rsidRDefault="009220C9" w:rsidP="003D45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Transformation matrices are ordered right to left, last to first. I.e. if T is applied first then R, then the order is RT</w:t>
      </w:r>
    </w:p>
    <w:p w14:paraId="21CCD386" w14:textId="4B648F14" w:rsidR="008F25D5" w:rsidRPr="008F25D5" w:rsidRDefault="008F25D5" w:rsidP="003D45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Angle between two vectors v = (a, b, c) and u = (x, y, z), </w:t>
      </w:r>
      <m:oMath>
        <m:func>
          <m:funcPr>
            <m:ctrlPr>
              <w:rPr>
                <w:rFonts w:ascii="Cambria Math" w:hAnsi="Cambria Math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2"/>
              </w:rPr>
              <m:t>cos</m:t>
            </m:r>
          </m:fName>
          <m:e>
            <m:r>
              <w:rPr>
                <w:rFonts w:ascii="Cambria Math" w:hAnsi="Cambria Math"/>
                <w:szCs w:val="22"/>
              </w:rPr>
              <m:t>θ</m:t>
            </m:r>
          </m:e>
        </m:func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ax+by+cz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2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sup>
                </m:sSup>
              </m:e>
            </m:rad>
          </m:den>
        </m:f>
      </m:oMath>
    </w:p>
    <w:p w14:paraId="367DC443" w14:textId="2003F438" w:rsidR="008F25D5" w:rsidRPr="00B83DE4" w:rsidRDefault="008F25D5" w:rsidP="003D45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34E9A">
        <w:rPr>
          <w:rFonts w:eastAsiaTheme="minorEastAsia"/>
          <w:sz w:val="20"/>
          <w:szCs w:val="20"/>
        </w:rPr>
        <w:t>Direction normal to two vectors</w:t>
      </w:r>
      <w:r w:rsidRPr="00B34E9A">
        <w:rPr>
          <w:sz w:val="20"/>
          <w:szCs w:val="20"/>
        </w:rPr>
        <w:t xml:space="preserve"> </w:t>
      </w:r>
      <w:r w:rsidRPr="00B34E9A">
        <w:rPr>
          <w:rFonts w:eastAsiaTheme="minorEastAsia"/>
          <w:sz w:val="20"/>
          <w:szCs w:val="20"/>
        </w:rPr>
        <w:t>v = (a, b, c) and u = (x, y, z)</w:t>
      </w:r>
      <w:r w:rsidR="00B34E9A">
        <w:rPr>
          <w:rFonts w:eastAsiaTheme="minorEastAsia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</w:rPr>
          <m:t>u×v=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bz-cy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i-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az-cx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j+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ay-bx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k</m:t>
        </m:r>
      </m:oMath>
    </w:p>
    <w:p w14:paraId="52BCBDEB" w14:textId="00963EF2" w:rsidR="00B83DE4" w:rsidRPr="00B83DE4" w:rsidRDefault="00B83DE4" w:rsidP="003D45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>Homogenous matrix to rotate by an angle around an arbitrary normalized direction (x,y,z)</w:t>
      </w:r>
    </w:p>
    <w:p w14:paraId="76C10488" w14:textId="2A75A443" w:rsidR="00B83DE4" w:rsidRPr="007343F6" w:rsidRDefault="00B83DE4" w:rsidP="007343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47510399" wp14:editId="31A7572D">
            <wp:extent cx="4599513" cy="958657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473" cy="97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81"/>
        <w:gridCol w:w="4789"/>
      </w:tblGrid>
      <w:tr w:rsidR="007343F6" w14:paraId="008A2EF1" w14:textId="77777777" w:rsidTr="007343F6">
        <w:tc>
          <w:tcPr>
            <w:tcW w:w="5395" w:type="dxa"/>
          </w:tcPr>
          <w:p w14:paraId="3D35E114" w14:textId="50377677" w:rsidR="007343F6" w:rsidRDefault="007343F6" w:rsidP="007343F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7AC8A5CB" wp14:editId="7E8D5DFE">
                  <wp:extent cx="2967457" cy="175782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873" cy="178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7089D5F" w14:textId="1FFF29C7" w:rsidR="007343F6" w:rsidRDefault="007343F6" w:rsidP="007343F6">
            <w:pPr>
              <w:pStyle w:val="ListParagraph"/>
              <w:ind w:left="0"/>
              <w:rPr>
                <w:sz w:val="20"/>
                <w:szCs w:val="20"/>
              </w:rPr>
            </w:pPr>
            <w:r>
              <w:object w:dxaOrig="9210" w:dyaOrig="9075" w14:anchorId="75B60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26.7pt;height:125pt" o:ole="">
                  <v:imagedata r:id="rId11" o:title=""/>
                </v:shape>
                <o:OLEObject Type="Embed" ProgID="PBrush" ShapeID="_x0000_i1026" DrawAspect="Content" ObjectID="_1707845959" r:id="rId12"/>
              </w:object>
            </w:r>
          </w:p>
        </w:tc>
      </w:tr>
    </w:tbl>
    <w:p w14:paraId="7DDA5BBC" w14:textId="759C7305" w:rsidR="007343F6" w:rsidRDefault="00962AC4" w:rsidP="00962AC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PCA analysis, calculate mean of all the points, and subtract from the original points to center the values.</w:t>
      </w:r>
    </w:p>
    <w:p w14:paraId="0DF58F7E" w14:textId="2D80A9F1" w:rsidR="00962AC4" w:rsidRDefault="00962AC4" w:rsidP="00962AC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Calculate the covariance matrix by multiplying the matrix of centered points to it’s transpose</w:t>
      </w:r>
    </w:p>
    <w:p w14:paraId="3C044F34" w14:textId="3365A5A8" w:rsidR="00962AC4" w:rsidRPr="00962AC4" w:rsidRDefault="00962AC4" w:rsidP="00962AC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Subtract </w:t>
      </w:r>
      <w:r w:rsidRPr="00962AC4">
        <w:rPr>
          <w:rFonts w:ascii="Cambria Math" w:hAnsi="Cambria Math" w:cs="Cambria Math"/>
          <w:sz w:val="20"/>
          <w:szCs w:val="20"/>
        </w:rPr>
        <w:t>𝜆</w:t>
      </w:r>
      <w:r>
        <w:rPr>
          <w:rFonts w:ascii="Cambria Math" w:hAnsi="Cambria Math" w:cs="Cambria Math"/>
          <w:sz w:val="20"/>
          <w:szCs w:val="20"/>
        </w:rPr>
        <w:t xml:space="preserve">I from the covariance matrix and calculate the determinant of the result. This will lead to a quadratic equation, so find the two possible values of </w:t>
      </w:r>
      <w:r w:rsidRPr="00962AC4">
        <w:rPr>
          <w:rFonts w:ascii="Cambria Math" w:hAnsi="Cambria Math" w:cs="Cambria Math"/>
          <w:sz w:val="20"/>
          <w:szCs w:val="20"/>
        </w:rPr>
        <w:t>𝜆</w:t>
      </w:r>
    </w:p>
    <w:p w14:paraId="5D90E031" w14:textId="3F6436FA" w:rsidR="00962AC4" w:rsidRPr="00962AC4" w:rsidRDefault="00962AC4" w:rsidP="00962AC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 xml:space="preserve">Then calculate the eigen vectors using the two values of </w:t>
      </w:r>
      <w:r w:rsidRPr="00962AC4">
        <w:rPr>
          <w:rFonts w:ascii="Cambria Math" w:hAnsi="Cambria Math" w:cs="Cambria Math"/>
          <w:sz w:val="20"/>
          <w:szCs w:val="20"/>
        </w:rPr>
        <w:t>𝜆</w:t>
      </w:r>
      <w:r>
        <w:rPr>
          <w:rFonts w:ascii="Cambria Math" w:hAnsi="Cambria Math" w:cs="Cambria Math"/>
          <w:sz w:val="20"/>
          <w:szCs w:val="20"/>
        </w:rPr>
        <w:t xml:space="preserve"> and the following constraints:</w:t>
      </w:r>
    </w:p>
    <w:p w14:paraId="029DFD93" w14:textId="12AC6D1E" w:rsidR="00962AC4" w:rsidRPr="00FC5F9A" w:rsidRDefault="00FC5F9A" w:rsidP="00962AC4">
      <w:pPr>
        <w:pStyle w:val="ListParagrap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A-</m:t>
              </m:r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=0          and    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7BE2D676" w14:textId="0CCDF95C" w:rsidR="00FC5F9A" w:rsidRDefault="00FC5F9A" w:rsidP="00FC5F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Then form new axes using the two eigen vectors</w:t>
      </w:r>
      <w:r w:rsidR="00772A49">
        <w:rPr>
          <w:sz w:val="20"/>
          <w:szCs w:val="20"/>
        </w:rPr>
        <w:t xml:space="preserve"> and project the points to the new axes to approximate and group original data</w:t>
      </w:r>
    </w:p>
    <w:p w14:paraId="54E3FC63" w14:textId="5B5DF3E0" w:rsidR="00772A49" w:rsidRDefault="00772A49" w:rsidP="00FC5F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form a kd tree of a set of points, draw vertical and horizontal axes alternatingly until all the </w:t>
      </w:r>
      <w:r w:rsidR="00FB61C0">
        <w:rPr>
          <w:sz w:val="20"/>
          <w:szCs w:val="20"/>
        </w:rPr>
        <w:t>points are captured.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5"/>
        <w:gridCol w:w="5205"/>
      </w:tblGrid>
      <w:tr w:rsidR="00093ECB" w14:paraId="6933F739" w14:textId="77777777" w:rsidTr="00FB61C0">
        <w:tc>
          <w:tcPr>
            <w:tcW w:w="5395" w:type="dxa"/>
          </w:tcPr>
          <w:p w14:paraId="121B04B0" w14:textId="0CDCB854" w:rsidR="00FB61C0" w:rsidRDefault="00FB61C0" w:rsidP="00FB61C0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982704" wp14:editId="6ED2DD71">
                  <wp:extent cx="1845501" cy="1455724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106" cy="147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18F8026" w14:textId="34E9496B" w:rsidR="00FB61C0" w:rsidRDefault="00FB61C0" w:rsidP="00FB61C0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B255E0" wp14:editId="0ECAB588">
                  <wp:extent cx="1675181" cy="1473694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916" cy="149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BA53" w14:textId="7E46D5E3" w:rsidR="00FB61C0" w:rsidRDefault="00FD41E7" w:rsidP="00FB61C0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90F8E4A" wp14:editId="3D4350D1">
            <wp:extent cx="4308653" cy="23818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03" cy="238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69B6" w14:textId="5164CD44" w:rsidR="00012736" w:rsidRDefault="00012736" w:rsidP="000127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K-means clustering, given a set of points, choose a number of cluster centers and then divide the points between those centers based on how close they are to the center.</w:t>
      </w:r>
    </w:p>
    <w:p w14:paraId="232379A7" w14:textId="43BE99E5" w:rsidR="00012736" w:rsidRDefault="00012736" w:rsidP="0001273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Then recalculate each center to be equal to the average center between the points it is clustered with. Then re distribute the points again based on the new centers</w:t>
      </w:r>
      <w:r w:rsidR="001E10A8">
        <w:rPr>
          <w:sz w:val="20"/>
          <w:szCs w:val="20"/>
        </w:rPr>
        <w:t>. Repeat this until the centers do not change when recalculated.</w:t>
      </w:r>
    </w:p>
    <w:p w14:paraId="0222C2CF" w14:textId="2E643ABD" w:rsidR="001E10A8" w:rsidRPr="001E10A8" w:rsidRDefault="001E10A8" w:rsidP="001E10A8">
      <w:pPr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562E2519" wp14:editId="668C1B7D">
            <wp:extent cx="1411833" cy="564041"/>
            <wp:effectExtent l="0" t="0" r="0" b="762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7399" cy="5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0A8" w:rsidRPr="001E10A8" w:rsidSect="002F2B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B10"/>
    <w:multiLevelType w:val="hybridMultilevel"/>
    <w:tmpl w:val="F44CCADC"/>
    <w:lvl w:ilvl="0" w:tplc="71461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80"/>
    <w:rsid w:val="00012736"/>
    <w:rsid w:val="00093ECB"/>
    <w:rsid w:val="001E10A8"/>
    <w:rsid w:val="002650C0"/>
    <w:rsid w:val="00274C12"/>
    <w:rsid w:val="002B2185"/>
    <w:rsid w:val="002F2BC0"/>
    <w:rsid w:val="003D45F6"/>
    <w:rsid w:val="003F3097"/>
    <w:rsid w:val="004E528A"/>
    <w:rsid w:val="00557E80"/>
    <w:rsid w:val="005D1FB3"/>
    <w:rsid w:val="006664C5"/>
    <w:rsid w:val="007343F6"/>
    <w:rsid w:val="00772A49"/>
    <w:rsid w:val="0088486F"/>
    <w:rsid w:val="008F25D5"/>
    <w:rsid w:val="009015E7"/>
    <w:rsid w:val="009220C9"/>
    <w:rsid w:val="00962AC4"/>
    <w:rsid w:val="00991F31"/>
    <w:rsid w:val="00B34E9A"/>
    <w:rsid w:val="00B83DE4"/>
    <w:rsid w:val="00D50818"/>
    <w:rsid w:val="00DC29A6"/>
    <w:rsid w:val="00EF38A3"/>
    <w:rsid w:val="00FB4B8F"/>
    <w:rsid w:val="00FB61C0"/>
    <w:rsid w:val="00FB7415"/>
    <w:rsid w:val="00FC5F9A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4678"/>
  <w15:chartTrackingRefBased/>
  <w15:docId w15:val="{40F1DD45-8E1A-443E-80CD-50DDD05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4C5"/>
    <w:rPr>
      <w:color w:val="808080"/>
    </w:rPr>
  </w:style>
  <w:style w:type="paragraph" w:styleId="ListParagraph">
    <w:name w:val="List Paragraph"/>
    <w:basedOn w:val="Normal"/>
    <w:uiPriority w:val="34"/>
    <w:qFormat/>
    <w:rsid w:val="002650C0"/>
    <w:pPr>
      <w:ind w:left="720"/>
      <w:contextualSpacing/>
    </w:pPr>
  </w:style>
  <w:style w:type="table" w:styleId="TableGrid">
    <w:name w:val="Table Grid"/>
    <w:basedOn w:val="TableNormal"/>
    <w:uiPriority w:val="39"/>
    <w:rsid w:val="00F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</dc:creator>
  <cp:keywords/>
  <dc:description/>
  <cp:lastModifiedBy>Mohammed Azad</cp:lastModifiedBy>
  <cp:revision>15</cp:revision>
  <dcterms:created xsi:type="dcterms:W3CDTF">2022-03-03T01:46:00Z</dcterms:created>
  <dcterms:modified xsi:type="dcterms:W3CDTF">2022-03-04T03:53:00Z</dcterms:modified>
</cp:coreProperties>
</file>