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HandNote import test</w:t>
      </w:r>
    </w:p>
    <w:p>
      <w:pPr>
        <w:pStyle w:val="Heading1"/>
      </w:pPr>
      <w:r>
        <w:t>1. Headings and paragraphs</w:t>
      </w:r>
    </w:p>
    <w:p>
      <w:r>
        <w:t xml:space="preserve">A normal paragraph with </w:t>
      </w:r>
      <w:r>
        <w:rPr>
          <w:b/>
        </w:rPr>
        <w:t>bold</w:t>
      </w:r>
      <w:r>
        <w:t xml:space="preserve">, </w:t>
      </w:r>
      <w:r>
        <w:rPr>
          <w:i/>
        </w:rPr>
        <w:t>italic</w:t>
      </w:r>
      <w:r>
        <w:t xml:space="preserve">, </w:t>
      </w:r>
      <w:r>
        <w:rPr>
          <w:u w:val="single"/>
        </w:rPr>
        <w:t>underlined</w:t>
      </w:r>
      <w:r>
        <w:t xml:space="preserve"> and </w:t>
      </w:r>
      <w:r>
        <w:rPr>
          <w:color w:val="C01010"/>
        </w:rPr>
        <w:t>red</w:t>
      </w:r>
      <w:r>
        <w:t xml:space="preserve"> text. This sentence is repeated to wrap over several lines. This sentence is repeated to wrap over several lines. This sentence is repeated to wrap over several lines. This sentence is repeated to wrap over several lines. </w:t>
      </w:r>
    </w:p>
    <w:p>
      <w:pPr>
        <w:jc w:val="center"/>
      </w:pPr>
      <w:r>
        <w:t>Centered paragraph.</w:t>
      </w:r>
    </w:p>
    <w:p>
      <w:pPr>
        <w:jc w:val="right"/>
      </w:pPr>
      <w:r>
        <w:t>Right aligned paragraph.</w:t>
      </w:r>
    </w:p>
    <w:p>
      <w:r>
        <w:t>中文段落：手写笔记插件把文档导入为固定页面，批注不会因为字体不同而错位。中文段落：手写笔记插件把文档导入为固定页面，批注不会因为字体不同而错位。中文段落：手写笔记插件把文档导入为固定页面，批注不会因为字体不同而错位。</w:t>
      </w:r>
    </w:p>
    <w:p>
      <w:pPr>
        <w:pStyle w:val="Heading1"/>
      </w:pPr>
      <w:r>
        <w:t>2. Lists</w:t>
      </w:r>
    </w:p>
    <w:p>
      <w:pPr>
        <w:pStyle w:val="ListBullet"/>
      </w:pPr>
      <w:r>
        <w:t>First bullet</w:t>
      </w:r>
    </w:p>
    <w:p>
      <w:pPr>
        <w:pStyle w:val="ListBullet"/>
      </w:pPr>
      <w:r>
        <w:t>Second bullet</w:t>
      </w:r>
    </w:p>
    <w:p>
      <w:pPr>
        <w:pStyle w:val="ListBullet"/>
      </w:pPr>
      <w:r>
        <w:t>Third bullet</w:t>
      </w:r>
    </w:p>
    <w:p>
      <w:pPr>
        <w:pStyle w:val="ListNumber"/>
      </w:pPr>
      <w:r>
        <w:t>Step one</w:t>
      </w:r>
    </w:p>
    <w:p>
      <w:pPr>
        <w:pStyle w:val="ListNumber"/>
      </w:pPr>
      <w:r>
        <w:t>Step two</w:t>
      </w:r>
    </w:p>
    <w:p>
      <w:pPr>
        <w:pStyle w:val="ListNumber"/>
      </w:pPr>
      <w:r>
        <w:t>Step three</w:t>
      </w:r>
    </w:p>
    <w:p>
      <w:pPr>
        <w:pStyle w:val="Heading1"/>
      </w:pPr>
      <w:r>
        <w:t>3. Table</w:t>
      </w:r>
    </w:p>
    <w:tbl>
      <w:tblPr>
        <w:tblStyle w:val="TableGrid"/>
        <w:tblW w:type="auto" w:w="0"/>
        <w:tblLook w:firstColumn="1" w:firstRow="1" w:lastColumn="0" w:lastRow="0" w:noHBand="0" w:noVBand="1" w:val="04A0"/>
      </w:tblPr>
      <w:tblGrid>
        <w:gridCol w:w="2880"/>
        <w:gridCol w:w="2880"/>
        <w:gridCol w:w="2880"/>
      </w:tblGrid>
      <w:tr>
        <w:tc>
          <w:tcPr>
            <w:tcW w:type="dxa" w:w="2880"/>
          </w:tcPr>
          <w:p>
            <w:r>
              <w:t>R1C1</w:t>
            </w:r>
          </w:p>
        </w:tc>
        <w:tc>
          <w:tcPr>
            <w:tcW w:type="dxa" w:w="2880"/>
          </w:tcPr>
          <w:p>
            <w:r>
              <w:t>R1C2</w:t>
            </w:r>
          </w:p>
        </w:tc>
        <w:tc>
          <w:tcPr>
            <w:tcW w:type="dxa" w:w="2880"/>
          </w:tcPr>
          <w:p>
            <w:r>
              <w:t>R1C3</w:t>
            </w:r>
          </w:p>
        </w:tc>
      </w:tr>
      <w:tr>
        <w:tc>
          <w:tcPr>
            <w:tcW w:type="dxa" w:w="2880"/>
          </w:tcPr>
          <w:p>
            <w:r>
              <w:t>R2C1</w:t>
            </w:r>
          </w:p>
        </w:tc>
        <w:tc>
          <w:tcPr>
            <w:tcW w:type="dxa" w:w="2880"/>
          </w:tcPr>
          <w:p>
            <w:r>
              <w:t>R2C2</w:t>
            </w:r>
          </w:p>
        </w:tc>
        <w:tc>
          <w:tcPr>
            <w:tcW w:type="dxa" w:w="2880"/>
          </w:tcPr>
          <w:p>
            <w:r>
              <w:t>R2C3</w:t>
            </w:r>
          </w:p>
        </w:tc>
      </w:tr>
      <w:tr>
        <w:tc>
          <w:tcPr>
            <w:tcW w:type="dxa" w:w="5760"/>
            <w:gridSpan w:val="2"/>
          </w:tcPr>
          <w:p>
            <w:r>
              <w:t>merged R3C1-2</w:t>
            </w:r>
          </w:p>
        </w:tc>
        <w:tc>
          <w:tcPr>
            <w:tcW w:type="dxa" w:w="2880"/>
          </w:tcPr>
          <w:p>
            <w:r>
              <w:t>R3C3</w:t>
            </w:r>
          </w:p>
        </w:tc>
      </w:tr>
    </w:tbl>
    <w:p>
      <w:pPr>
        <w:pStyle w:val="Heading1"/>
      </w:pPr>
      <w:r>
        <w:t>4. Picture</w:t>
      </w:r>
    </w:p>
    <w:p>
      <w:r>
        <w:drawing>
          <wp:inline xmlns:a="http://schemas.openxmlformats.org/drawingml/2006/main" xmlns:pic="http://schemas.openxmlformats.org/drawingml/2006/picture">
            <wp:extent cx="1828800" cy="914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28800" cy="914400"/>
                    </a:xfrm>
                    <a:prstGeom prst="rect"/>
                  </pic:spPr>
                </pic:pic>
              </a:graphicData>
            </a:graphic>
          </wp:inline>
        </w:drawing>
      </w:r>
    </w:p>
    <w:p>
      <w:r>
        <w:t>After the picture.</w:t>
      </w:r>
      <w:r>
        <w:br w:type="page"/>
      </w:r>
    </w:p>
    <w:p>
      <w:pPr>
        <w:pStyle w:val="Heading1"/>
      </w:pPr>
      <w:r>
        <w:t>5. Second page</w:t>
      </w:r>
    </w:p>
    <w:p>
      <w:r>
        <w:t>This paragraph starts on page 2 after a manual page break.</w:t>
      </w:r>
    </w:p>
    <w:p>
      <w:pPr>
        <w:sectPr>
          <w:pgSz w:w="12240" w:h="15840"/>
          <w:pgMar w:top="1440" w:right="1800" w:bottom="1440" w:left="1800" w:header="720" w:footer="720" w:gutter="0"/>
          <w:cols w:space="720"/>
          <w:docGrid w:linePitch="360"/>
        </w:sectPr>
      </w:pPr>
    </w:p>
    <w:p>
      <w:pPr>
        <w:pStyle w:val="Heading1"/>
      </w:pPr>
      <w:r>
        <w:t>6. Landscape section</w:t>
      </w:r>
    </w:p>
    <w:p>
      <w:r>
        <w:t>This page is landscape.</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