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a37c3bf3018a6ebdbd47b3df848c317245a5811"/>
    <w:p>
      <w:pPr>
        <w:pStyle w:val="Heading1"/>
      </w:pPr>
      <w:r>
        <w:t xml:space="preserve">Manual de Uso y Pruebas – Aplicación de Gestión de Casos de Fraude (Tkinter)</w:t>
      </w:r>
    </w:p>
    <w:p>
      <w:pPr>
        <w:pStyle w:val="FirstParagraph"/>
      </w:pPr>
      <w:r>
        <w:t xml:space="preserve">Este documento explica cómo utilizar y probar la versión de escritorio de la aplicación de gestión de casos de fraude implementada en Python usando Tkinter. Está orientado a usuarios y evaluadores no técnicos que necesiten comprobar que todas las funcionalidades del sistema se comportan como se espera.</w:t>
      </w:r>
    </w:p>
    <w:bookmarkStart w:id="21" w:name="requisitos-previos"/>
    <w:p>
      <w:pPr>
        <w:pStyle w:val="Heading2"/>
      </w:pPr>
      <w:r>
        <w:t xml:space="preserve">1. Requisitos previos</w:t>
      </w:r>
    </w:p>
    <w:p>
      <w:pPr>
        <w:pStyle w:val="Compact"/>
        <w:numPr>
          <w:ilvl w:val="0"/>
          <w:numId w:val="1001"/>
        </w:numPr>
      </w:pPr>
      <w:r>
        <w:t xml:space="preserve">Python 3.7 o superior instalado en el equipo.</w:t>
      </w:r>
    </w:p>
    <w:p>
      <w:pPr>
        <w:pStyle w:val="Compact"/>
        <w:numPr>
          <w:ilvl w:val="0"/>
          <w:numId w:val="1001"/>
        </w:numPr>
      </w:pPr>
      <w:r>
        <w:t xml:space="preserve">Archivos CSV de referencia ubicados en la misma carpeta que el script</w:t>
      </w:r>
      <w:r>
        <w:t xml:space="preserve"> </w:t>
      </w:r>
      <w:r>
        <w:rPr>
          <w:rStyle w:val="VerbatimChar"/>
        </w:rPr>
        <w:t xml:space="preserve">fraud_case_gui.py</w:t>
      </w:r>
      <w:r>
        <w:t xml:space="preserve">:</w:t>
      </w:r>
    </w:p>
    <w:p>
      <w:pPr>
        <w:pStyle w:val="Compact"/>
        <w:numPr>
          <w:ilvl w:val="0"/>
          <w:numId w:val="1001"/>
        </w:numPr>
      </w:pPr>
      <w:r>
        <w:rPr>
          <w:rStyle w:val="VerbatimChar"/>
        </w:rPr>
        <w:t xml:space="preserve">client_details.csv</w:t>
      </w:r>
      <w:r>
        <w:t xml:space="preserve">: datos maestros de clientes para autopoblar.</w:t>
      </w:r>
    </w:p>
    <w:p>
      <w:pPr>
        <w:pStyle w:val="Compact"/>
        <w:numPr>
          <w:ilvl w:val="0"/>
          <w:numId w:val="1001"/>
        </w:numPr>
      </w:pPr>
      <w:r>
        <w:rPr>
          <w:rStyle w:val="VerbatimChar"/>
        </w:rPr>
        <w:t xml:space="preserve">team_details.csv</w:t>
      </w:r>
      <w:r>
        <w:t xml:space="preserve">: datos maestros de colaboradores para autopoblar.</w:t>
      </w:r>
    </w:p>
    <w:p>
      <w:pPr>
        <w:pStyle w:val="Compact"/>
        <w:numPr>
          <w:ilvl w:val="0"/>
          <w:numId w:val="1001"/>
        </w:numPr>
      </w:pPr>
      <w:r>
        <w:rPr>
          <w:rStyle w:val="VerbatimChar"/>
        </w:rPr>
        <w:t xml:space="preserve">clientes_masivos.csv</w:t>
      </w:r>
      <w:r>
        <w:t xml:space="preserve">,</w:t>
      </w:r>
      <w:r>
        <w:t xml:space="preserve"> </w:t>
      </w:r>
      <w:r>
        <w:rPr>
          <w:rStyle w:val="VerbatimChar"/>
        </w:rPr>
        <w:t xml:space="preserve">colaboradores_masivos.csv</w:t>
      </w:r>
      <w:r>
        <w:t xml:space="preserve">,</w:t>
      </w:r>
      <w:r>
        <w:t xml:space="preserve"> </w:t>
      </w:r>
      <w:r>
        <w:rPr>
          <w:rStyle w:val="VerbatimChar"/>
        </w:rPr>
        <w:t xml:space="preserve">productos_masivos.csv</w:t>
      </w:r>
      <w:r>
        <w:t xml:space="preserve">,</w:t>
      </w:r>
      <w:r>
        <w:t xml:space="preserve"> </w:t>
      </w:r>
      <w:r>
        <w:rPr>
          <w:rStyle w:val="VerbatimChar"/>
        </w:rPr>
        <w:t xml:space="preserve">datos_combinados_masivos.csv</w:t>
      </w:r>
      <w:r>
        <w:t xml:space="preserve"> </w:t>
      </w:r>
      <w:r>
        <w:t xml:space="preserve">– ejemplos para importación masiva.</w:t>
      </w:r>
    </w:p>
    <w:p>
      <w:pPr>
        <w:pStyle w:val="Compact"/>
        <w:numPr>
          <w:ilvl w:val="0"/>
          <w:numId w:val="1001"/>
        </w:numPr>
      </w:pPr>
      <w:r>
        <w:rPr>
          <w:rStyle w:val="VerbatimChar"/>
        </w:rPr>
        <w:t xml:space="preserve">riesgos_masivos.csv</w:t>
      </w:r>
      <w:r>
        <w:t xml:space="preserve">,</w:t>
      </w:r>
      <w:r>
        <w:t xml:space="preserve"> </w:t>
      </w:r>
      <w:r>
        <w:rPr>
          <w:rStyle w:val="VerbatimChar"/>
        </w:rPr>
        <w:t xml:space="preserve">normas_masivas.csv</w:t>
      </w:r>
      <w:r>
        <w:t xml:space="preserve">,</w:t>
      </w:r>
      <w:r>
        <w:t xml:space="preserve"> </w:t>
      </w:r>
      <w:r>
        <w:rPr>
          <w:rStyle w:val="VerbatimChar"/>
        </w:rPr>
        <w:t xml:space="preserve">reclamos_masivos.csv</w:t>
      </w:r>
      <w:r>
        <w:t xml:space="preserve"> </w:t>
      </w:r>
      <w:r>
        <w:t xml:space="preserve">– ejemplos para importación de riesgos, normas y reclamos.</w:t>
      </w:r>
    </w:p>
    <w:bookmarkEnd w:id="21"/>
    <w:bookmarkStart w:id="22" w:name="ejecución-de-la-aplicación"/>
    <w:p>
      <w:pPr>
        <w:pStyle w:val="Heading2"/>
      </w:pPr>
      <w:r>
        <w:t xml:space="preserve">2. Ejecución de la aplicación</w:t>
      </w:r>
    </w:p>
    <w:p>
      <w:pPr>
        <w:pStyle w:val="Compact"/>
        <w:numPr>
          <w:ilvl w:val="0"/>
          <w:numId w:val="1002"/>
        </w:numPr>
      </w:pPr>
      <w:r>
        <w:t xml:space="preserve">Abrir una terminal y navegar hasta la carpeta donde se encuentran los archivos.</w:t>
      </w:r>
    </w:p>
    <w:p>
      <w:pPr>
        <w:pStyle w:val="Compact"/>
        <w:numPr>
          <w:ilvl w:val="0"/>
          <w:numId w:val="1002"/>
        </w:numPr>
      </w:pPr>
      <w:r>
        <w:t xml:space="preserve">Ejecutar el comando:</w:t>
      </w:r>
    </w:p>
    <w:p>
      <w:pPr>
        <w:pStyle w:val="SourceCode"/>
      </w:pPr>
      <w:r>
        <w:rPr>
          <w:rStyle w:val="VerbatimChar"/>
        </w:rPr>
        <w:t xml:space="preserve">python3 fraud_case_gui.py</w:t>
      </w:r>
    </w:p>
    <w:p>
      <w:pPr>
        <w:pStyle w:val="FirstParagraph"/>
      </w:pPr>
      <w:r>
        <w:t xml:space="preserve">La ventana principal mostrará varias pestañas:</w:t>
      </w:r>
      <w:r>
        <w:t xml:space="preserve"> </w:t>
      </w:r>
      <w:r>
        <w:rPr>
          <w:b/>
          <w:bCs/>
        </w:rPr>
        <w:t xml:space="preserve">Caso</w:t>
      </w:r>
      <w:r>
        <w:t xml:space="preserve">,</w:t>
      </w:r>
      <w:r>
        <w:t xml:space="preserve"> </w:t>
      </w:r>
      <w:r>
        <w:rPr>
          <w:b/>
          <w:bCs/>
        </w:rPr>
        <w:t xml:space="preserve">Clientes</w:t>
      </w:r>
      <w:r>
        <w:t xml:space="preserve">,</w:t>
      </w:r>
      <w:r>
        <w:t xml:space="preserve"> </w:t>
      </w:r>
      <w:r>
        <w:rPr>
          <w:b/>
          <w:bCs/>
        </w:rPr>
        <w:t xml:space="preserve">Colaboradores</w:t>
      </w:r>
      <w:r>
        <w:t xml:space="preserve">,</w:t>
      </w:r>
      <w:r>
        <w:t xml:space="preserve"> </w:t>
      </w:r>
      <w:r>
        <w:rPr>
          <w:b/>
          <w:bCs/>
        </w:rPr>
        <w:t xml:space="preserve">Productos</w:t>
      </w:r>
      <w:r>
        <w:t xml:space="preserve">,</w:t>
      </w:r>
      <w:r>
        <w:t xml:space="preserve"> </w:t>
      </w:r>
      <w:r>
        <w:rPr>
          <w:b/>
          <w:bCs/>
        </w:rPr>
        <w:t xml:space="preserve">Riesgos</w:t>
      </w:r>
      <w:r>
        <w:t xml:space="preserve">,</w:t>
      </w:r>
      <w:r>
        <w:t xml:space="preserve"> </w:t>
      </w:r>
      <w:r>
        <w:rPr>
          <w:b/>
          <w:bCs/>
        </w:rPr>
        <w:t xml:space="preserve">Normas</w:t>
      </w:r>
      <w:r>
        <w:t xml:space="preserve">,</w:t>
      </w:r>
      <w:r>
        <w:t xml:space="preserve"> </w:t>
      </w:r>
      <w:r>
        <w:rPr>
          <w:b/>
          <w:bCs/>
        </w:rPr>
        <w:t xml:space="preserve">Análisis</w:t>
      </w:r>
      <w:r>
        <w:t xml:space="preserve"> </w:t>
      </w:r>
      <w:r>
        <w:t xml:space="preserve">y</w:t>
      </w:r>
      <w:r>
        <w:t xml:space="preserve"> </w:t>
      </w:r>
      <w:r>
        <w:rPr>
          <w:b/>
          <w:bCs/>
        </w:rPr>
        <w:t xml:space="preserve">Acciones</w:t>
      </w:r>
      <w:r>
        <w:t xml:space="preserve">.</w:t>
      </w:r>
    </w:p>
    <w:p>
      <w:pPr>
        <w:pStyle w:val="Compact"/>
        <w:numPr>
          <w:ilvl w:val="0"/>
          <w:numId w:val="1003"/>
        </w:numPr>
      </w:pPr>
      <w:r>
        <w:t xml:space="preserve">La aplicación cargará automáticamente el autosave más reciente (si existe) y mostrará los datos guardados. Para empezar un caso nuevo, utilice el botón</w:t>
      </w:r>
      <w:r>
        <w:t xml:space="preserve"> </w:t>
      </w:r>
      <w:r>
        <w:rPr>
          <w:b/>
          <w:bCs/>
        </w:rPr>
        <w:t xml:space="preserve">Borrar todos los datos</w:t>
      </w:r>
      <w:r>
        <w:t xml:space="preserve"> </w:t>
      </w:r>
      <w:r>
        <w:t xml:space="preserve">en la pestaña de acciones.</w:t>
      </w:r>
    </w:p>
    <w:bookmarkEnd w:id="22"/>
    <w:bookmarkStart w:id="23" w:name="completar-un-caso"/>
    <w:p>
      <w:pPr>
        <w:pStyle w:val="Heading2"/>
      </w:pPr>
      <w:r>
        <w:t xml:space="preserve">3. Completar un caso</w:t>
      </w:r>
    </w:p>
    <w:p>
      <w:pPr>
        <w:numPr>
          <w:ilvl w:val="0"/>
          <w:numId w:val="1004"/>
        </w:numPr>
      </w:pPr>
      <w:r>
        <w:t xml:space="preserve">En la pestaña</w:t>
      </w:r>
      <w:r>
        <w:t xml:space="preserve"> </w:t>
      </w:r>
      <w:r>
        <w:rPr>
          <w:b/>
          <w:bCs/>
        </w:rPr>
        <w:t xml:space="preserve">Caso</w:t>
      </w:r>
      <w:r>
        <w:t xml:space="preserve">, introduzca el número de caso (</w:t>
      </w:r>
      <w:r>
        <w:rPr>
          <w:rStyle w:val="VerbatimChar"/>
        </w:rPr>
        <w:t xml:space="preserve">AAAA-NNNN</w:t>
      </w:r>
      <w:r>
        <w:t xml:space="preserve">), seleccione el tipo de informe (Gerencia, Interno o Credicorp) y elija las categorías y modalidad de la taxonomía de fraude. Seleccione también el canal y el proceso impactado. Estas opciones inicializan valores predeterminados para todos los productos.</w:t>
      </w:r>
    </w:p>
    <w:p>
      <w:pPr>
        <w:numPr>
          <w:ilvl w:val="0"/>
          <w:numId w:val="1004"/>
        </w:numPr>
      </w:pPr>
      <w:r>
        <w:t xml:space="preserve">Los campos se validan al perder el foco. Si hay un error (formato incorrecto, campo obligatorio vacío, etc.), aparecerá un mensaje en rojo debajo del campo o en la parte inferior de la ventana. Corrija cualquier error antes de continuar.</w:t>
      </w:r>
    </w:p>
    <w:bookmarkEnd w:id="23"/>
    <w:bookmarkStart w:id="24" w:name="añadir-clientes"/>
    <w:p>
      <w:pPr>
        <w:pStyle w:val="Heading2"/>
      </w:pPr>
      <w:r>
        <w:t xml:space="preserve">4. Añadir clientes</w:t>
      </w:r>
    </w:p>
    <w:p>
      <w:pPr>
        <w:pStyle w:val="Compact"/>
        <w:numPr>
          <w:ilvl w:val="0"/>
          <w:numId w:val="1005"/>
        </w:numPr>
      </w:pPr>
      <w:r>
        <w:t xml:space="preserve">Vaya a la pestaña</w:t>
      </w:r>
      <w:r>
        <w:t xml:space="preserve"> </w:t>
      </w:r>
      <w:r>
        <w:rPr>
          <w:b/>
          <w:bCs/>
        </w:rPr>
        <w:t xml:space="preserve">Clientes</w:t>
      </w:r>
      <w:r>
        <w:t xml:space="preserve"> </w:t>
      </w:r>
      <w:r>
        <w:t xml:space="preserve">y pulse</w:t>
      </w:r>
      <w:r>
        <w:t xml:space="preserve"> </w:t>
      </w:r>
      <w:r>
        <w:rPr>
          <w:b/>
          <w:bCs/>
        </w:rPr>
        <w:t xml:space="preserve">Añadir cliente</w:t>
      </w:r>
      <w:r>
        <w:t xml:space="preserve"> </w:t>
      </w:r>
      <w:r>
        <w:t xml:space="preserve">para crear un registro.</w:t>
      </w:r>
    </w:p>
    <w:p>
      <w:pPr>
        <w:pStyle w:val="Compact"/>
        <w:numPr>
          <w:ilvl w:val="0"/>
          <w:numId w:val="1005"/>
        </w:numPr>
      </w:pPr>
      <w:r>
        <w:t xml:space="preserve">Seleccione el tipo de ID (DNI, Pasaporte, RUC, Carné de extranjería, No aplica) e introduzca el número en el campo</w:t>
      </w:r>
      <w:r>
        <w:t xml:space="preserve"> </w:t>
      </w:r>
      <w:r>
        <w:rPr>
          <w:b/>
          <w:bCs/>
        </w:rPr>
        <w:t xml:space="preserve">ID del cliente</w:t>
      </w:r>
      <w:r>
        <w:t xml:space="preserve">. Al perder el foco, la aplicación consultará el archivo</w:t>
      </w:r>
      <w:r>
        <w:t xml:space="preserve"> </w:t>
      </w:r>
      <w:r>
        <w:rPr>
          <w:rStyle w:val="VerbatimChar"/>
        </w:rPr>
        <w:t xml:space="preserve">client_details.csv</w:t>
      </w:r>
      <w:r>
        <w:t xml:space="preserve"> </w:t>
      </w:r>
      <w:r>
        <w:t xml:space="preserve">y autopoblará el tipo de ID, el flag, teléfonos, correos, direcciones y accionado si encuentra el ID. Puede editar estos campos manualmente.</w:t>
      </w:r>
    </w:p>
    <w:p>
      <w:pPr>
        <w:pStyle w:val="Compact"/>
        <w:numPr>
          <w:ilvl w:val="0"/>
          <w:numId w:val="1005"/>
        </w:numPr>
      </w:pPr>
      <w:r>
        <w:t xml:space="preserve">Escriba teléfonos, correos y direcciones separados por punto y coma</w:t>
      </w:r>
      <w:r>
        <w:t xml:space="preserve"> </w:t>
      </w:r>
      <w:r>
        <w:rPr>
          <w:rStyle w:val="VerbatimChar"/>
        </w:rPr>
        <w:t xml:space="preserve">;</w:t>
      </w:r>
      <w:r>
        <w:t xml:space="preserve">. Seleccione el</w:t>
      </w:r>
      <w:r>
        <w:t xml:space="preserve"> </w:t>
      </w:r>
      <w:r>
        <w:rPr>
          <w:b/>
          <w:bCs/>
        </w:rPr>
        <w:t xml:space="preserve">Flag de cliente</w:t>
      </w:r>
      <w:r>
        <w:t xml:space="preserve"> </w:t>
      </w:r>
      <w:r>
        <w:t xml:space="preserve">(Involucrado, Afectado o No aplica).</w:t>
      </w:r>
    </w:p>
    <w:p>
      <w:pPr>
        <w:pStyle w:val="Compact"/>
        <w:numPr>
          <w:ilvl w:val="0"/>
          <w:numId w:val="1005"/>
        </w:numPr>
      </w:pPr>
      <w:r>
        <w:t xml:space="preserve">Use</w:t>
      </w:r>
      <w:r>
        <w:t xml:space="preserve"> </w:t>
      </w:r>
      <w:r>
        <w:rPr>
          <w:b/>
          <w:bCs/>
        </w:rPr>
        <w:t xml:space="preserve">Eliminar cliente</w:t>
      </w:r>
      <w:r>
        <w:t xml:space="preserve"> </w:t>
      </w:r>
      <w:r>
        <w:t xml:space="preserve">para borrar una entrada y confirmar la acción.</w:t>
      </w:r>
    </w:p>
    <w:p>
      <w:pPr>
        <w:pStyle w:val="Compact"/>
        <w:numPr>
          <w:ilvl w:val="0"/>
          <w:numId w:val="1005"/>
        </w:numPr>
      </w:pPr>
      <w:r>
        <w:t xml:space="preserve">Repita el proceso para cada cliente necesario.</w:t>
      </w:r>
    </w:p>
    <w:bookmarkEnd w:id="24"/>
    <w:bookmarkStart w:id="25" w:name="añadir-colaboradores-team-members"/>
    <w:p>
      <w:pPr>
        <w:pStyle w:val="Heading2"/>
      </w:pPr>
      <w:r>
        <w:t xml:space="preserve">5. Añadir colaboradores (team members)</w:t>
      </w:r>
    </w:p>
    <w:p>
      <w:pPr>
        <w:pStyle w:val="Compact"/>
        <w:numPr>
          <w:ilvl w:val="0"/>
          <w:numId w:val="1006"/>
        </w:numPr>
      </w:pPr>
      <w:r>
        <w:t xml:space="preserve">Abra la pestaña</w:t>
      </w:r>
      <w:r>
        <w:t xml:space="preserve"> </w:t>
      </w:r>
      <w:r>
        <w:rPr>
          <w:b/>
          <w:bCs/>
        </w:rPr>
        <w:t xml:space="preserve">Colaboradores</w:t>
      </w:r>
      <w:r>
        <w:t xml:space="preserve"> </w:t>
      </w:r>
      <w:r>
        <w:t xml:space="preserve">y pulse</w:t>
      </w:r>
      <w:r>
        <w:t xml:space="preserve"> </w:t>
      </w:r>
      <w:r>
        <w:rPr>
          <w:b/>
          <w:bCs/>
        </w:rPr>
        <w:t xml:space="preserve">Añadir colaborador</w:t>
      </w:r>
      <w:r>
        <w:t xml:space="preserve"> </w:t>
      </w:r>
      <w:r>
        <w:t xml:space="preserve">para crear un registro.</w:t>
      </w:r>
    </w:p>
    <w:p>
      <w:pPr>
        <w:pStyle w:val="Compact"/>
        <w:numPr>
          <w:ilvl w:val="0"/>
          <w:numId w:val="1006"/>
        </w:numPr>
      </w:pPr>
      <w:r>
        <w:t xml:space="preserve">Escriba el ID del colaborador (una letra seguida de cinco dígitos). Al perder el foco, la aplicación busca en</w:t>
      </w:r>
      <w:r>
        <w:t xml:space="preserve"> </w:t>
      </w:r>
      <w:r>
        <w:rPr>
          <w:rStyle w:val="VerbatimChar"/>
        </w:rPr>
        <w:t xml:space="preserve">team_details.csv</w:t>
      </w:r>
      <w:r>
        <w:t xml:space="preserve"> </w:t>
      </w:r>
      <w:r>
        <w:t xml:space="preserve">y autopuebla los campos de división, área, servicio, puesto, nombre de agencia y código de agencia. Si el ID no se encuentra, se registra una advertencia en los logs.</w:t>
      </w:r>
    </w:p>
    <w:p>
      <w:pPr>
        <w:pStyle w:val="Compact"/>
        <w:numPr>
          <w:ilvl w:val="0"/>
          <w:numId w:val="1006"/>
        </w:numPr>
      </w:pPr>
      <w:r>
        <w:t xml:space="preserve">Seleccione el</w:t>
      </w:r>
      <w:r>
        <w:t xml:space="preserve"> </w:t>
      </w:r>
      <w:r>
        <w:rPr>
          <w:b/>
          <w:bCs/>
        </w:rPr>
        <w:t xml:space="preserve">Flag del colaborador</w:t>
      </w:r>
      <w:r>
        <w:t xml:space="preserve"> </w:t>
      </w:r>
      <w:r>
        <w:t xml:space="preserve">(Involucrado, Relacionado o No aplica), el tipo de falta y el tipo de sanción.</w:t>
      </w:r>
    </w:p>
    <w:p>
      <w:pPr>
        <w:pStyle w:val="Compact"/>
        <w:numPr>
          <w:ilvl w:val="0"/>
          <w:numId w:val="1006"/>
        </w:numPr>
      </w:pPr>
      <w:r>
        <w:t xml:space="preserve">Elimine un colaborador con</w:t>
      </w:r>
      <w:r>
        <w:t xml:space="preserve"> </w:t>
      </w:r>
      <w:r>
        <w:rPr>
          <w:b/>
          <w:bCs/>
        </w:rPr>
        <w:t xml:space="preserve">Eliminar colaborador</w:t>
      </w:r>
      <w:r>
        <w:t xml:space="preserve"> </w:t>
      </w:r>
      <w:r>
        <w:t xml:space="preserve">y confirme.</w:t>
      </w:r>
    </w:p>
    <w:bookmarkEnd w:id="25"/>
    <w:bookmarkStart w:id="26" w:name="crear-productos"/>
    <w:p>
      <w:pPr>
        <w:pStyle w:val="Heading2"/>
      </w:pPr>
      <w:r>
        <w:t xml:space="preserve">6. Crear productos</w:t>
      </w:r>
    </w:p>
    <w:p>
      <w:pPr>
        <w:pStyle w:val="Compact"/>
        <w:numPr>
          <w:ilvl w:val="0"/>
          <w:numId w:val="1007"/>
        </w:numPr>
      </w:pPr>
      <w:r>
        <w:t xml:space="preserve">En la pestaña</w:t>
      </w:r>
      <w:r>
        <w:t xml:space="preserve"> </w:t>
      </w:r>
      <w:r>
        <w:rPr>
          <w:b/>
          <w:bCs/>
        </w:rPr>
        <w:t xml:space="preserve">Productos</w:t>
      </w:r>
      <w:r>
        <w:t xml:space="preserve">, pulse</w:t>
      </w:r>
      <w:r>
        <w:t xml:space="preserve"> </w:t>
      </w:r>
      <w:r>
        <w:rPr>
          <w:b/>
          <w:bCs/>
        </w:rPr>
        <w:t xml:space="preserve">Añadir producto</w:t>
      </w:r>
      <w:r>
        <w:t xml:space="preserve"> </w:t>
      </w:r>
      <w:r>
        <w:t xml:space="preserve">para cada cuenta o contrato afectado. Para que el botón esté activo debe existir al menos un cliente y un colaborador válidos.</w:t>
      </w:r>
    </w:p>
    <w:p>
      <w:pPr>
        <w:pStyle w:val="Compact"/>
        <w:numPr>
          <w:ilvl w:val="0"/>
          <w:numId w:val="1007"/>
        </w:numPr>
      </w:pPr>
      <w:r>
        <w:t xml:space="preserve">Introduzca el</w:t>
      </w:r>
      <w:r>
        <w:t xml:space="preserve"> </w:t>
      </w:r>
      <w:r>
        <w:rPr>
          <w:b/>
          <w:bCs/>
        </w:rPr>
        <w:t xml:space="preserve">ID del producto</w:t>
      </w:r>
      <w:r>
        <w:t xml:space="preserve"> </w:t>
      </w:r>
      <w:r>
        <w:t xml:space="preserve">(longitud 13, 14, 16 o 20 caracteres o mayor a 100).</w:t>
      </w:r>
    </w:p>
    <w:p>
      <w:pPr>
        <w:pStyle w:val="Compact"/>
        <w:numPr>
          <w:ilvl w:val="0"/>
          <w:numId w:val="1007"/>
        </w:numPr>
      </w:pPr>
      <w:r>
        <w:t xml:space="preserve">Seleccione el</w:t>
      </w:r>
      <w:r>
        <w:t xml:space="preserve"> </w:t>
      </w:r>
      <w:r>
        <w:rPr>
          <w:b/>
          <w:bCs/>
        </w:rPr>
        <w:t xml:space="preserve">Cliente</w:t>
      </w:r>
      <w:r>
        <w:t xml:space="preserve"> </w:t>
      </w:r>
      <w:r>
        <w:t xml:space="preserve">asociado. El producto debe pertenecer a un único cliente.</w:t>
      </w:r>
    </w:p>
    <w:p>
      <w:pPr>
        <w:pStyle w:val="Compact"/>
        <w:numPr>
          <w:ilvl w:val="0"/>
          <w:numId w:val="1007"/>
        </w:numPr>
      </w:pPr>
      <w:r>
        <w:t xml:space="preserve">Ajuste las categorías, canal y proceso si difieren del caso. Seleccione la</w:t>
      </w:r>
      <w:r>
        <w:t xml:space="preserve"> </w:t>
      </w:r>
      <w:r>
        <w:rPr>
          <w:b/>
          <w:bCs/>
        </w:rPr>
        <w:t xml:space="preserve">Fecha de ocurrencia</w:t>
      </w:r>
      <w:r>
        <w:t xml:space="preserve"> </w:t>
      </w:r>
      <w:r>
        <w:t xml:space="preserve">y la</w:t>
      </w:r>
      <w:r>
        <w:t xml:space="preserve"> </w:t>
      </w:r>
      <w:r>
        <w:rPr>
          <w:b/>
          <w:bCs/>
        </w:rPr>
        <w:t xml:space="preserve">Fecha de descubrimiento</w:t>
      </w:r>
      <w:r>
        <w:t xml:space="preserve"> </w:t>
      </w:r>
      <w:r>
        <w:t xml:space="preserve">(orden correcto y no pueden ser futuras).</w:t>
      </w:r>
    </w:p>
    <w:p>
      <w:pPr>
        <w:pStyle w:val="Compact"/>
        <w:numPr>
          <w:ilvl w:val="0"/>
          <w:numId w:val="1007"/>
        </w:numPr>
      </w:pPr>
      <w:r>
        <w:t xml:space="preserve">Introduzca el</w:t>
      </w:r>
      <w:r>
        <w:t xml:space="preserve"> </w:t>
      </w:r>
      <w:r>
        <w:rPr>
          <w:b/>
          <w:bCs/>
        </w:rPr>
        <w:t xml:space="preserve">Monto investigado</w:t>
      </w:r>
      <w:r>
        <w:t xml:space="preserve"> </w:t>
      </w:r>
      <w:r>
        <w:t xml:space="preserve">y los montos parciales de pérdida, falla, contingencia, recuperado y pago de deuda. La suma de pérdida, falla, contingencia y recuperado debe ser igual al monto investigado. Si el producto es un crédito o tarjeta, el monto de contingencia debe ser igual al investigado.</w:t>
      </w:r>
    </w:p>
    <w:p>
      <w:pPr>
        <w:pStyle w:val="Compact"/>
        <w:numPr>
          <w:ilvl w:val="0"/>
          <w:numId w:val="1007"/>
        </w:numPr>
      </w:pPr>
      <w:r>
        <w:t xml:space="preserve">Seleccione la</w:t>
      </w:r>
      <w:r>
        <w:t xml:space="preserve"> </w:t>
      </w:r>
      <w:r>
        <w:rPr>
          <w:b/>
          <w:bCs/>
        </w:rPr>
        <w:t xml:space="preserve">Tipo de moneda</w:t>
      </w:r>
      <w:r>
        <w:t xml:space="preserve"> </w:t>
      </w:r>
      <w:r>
        <w:t xml:space="preserve">(Soles, Dólares o No aplica). Seleccione el</w:t>
      </w:r>
      <w:r>
        <w:t xml:space="preserve"> </w:t>
      </w:r>
      <w:r>
        <w:rPr>
          <w:b/>
          <w:bCs/>
        </w:rPr>
        <w:t xml:space="preserve">Tipo de producto</w:t>
      </w:r>
      <w:r>
        <w:t xml:space="preserve"> </w:t>
      </w:r>
      <w:r>
        <w:t xml:space="preserve">según la lista.</w:t>
      </w:r>
    </w:p>
    <w:p>
      <w:pPr>
        <w:pStyle w:val="Compact"/>
        <w:numPr>
          <w:ilvl w:val="0"/>
          <w:numId w:val="1007"/>
        </w:numPr>
      </w:pPr>
      <w:r>
        <w:t xml:space="preserve">Si hay montos de pérdida, falla o contingencia positivos, introduzca el</w:t>
      </w:r>
      <w:r>
        <w:t xml:space="preserve"> </w:t>
      </w:r>
      <w:r>
        <w:rPr>
          <w:b/>
          <w:bCs/>
        </w:rPr>
        <w:t xml:space="preserve">ID de reclamo</w:t>
      </w:r>
      <w:r>
        <w:t xml:space="preserve"> </w:t>
      </w:r>
      <w:r>
        <w:t xml:space="preserve">(C+8 dígitos), el</w:t>
      </w:r>
      <w:r>
        <w:t xml:space="preserve"> </w:t>
      </w:r>
      <w:r>
        <w:rPr>
          <w:b/>
          <w:bCs/>
        </w:rPr>
        <w:t xml:space="preserve">Nombre analítica</w:t>
      </w:r>
      <w:r>
        <w:t xml:space="preserve"> </w:t>
      </w:r>
      <w:r>
        <w:t xml:space="preserve">y el</w:t>
      </w:r>
      <w:r>
        <w:t xml:space="preserve"> </w:t>
      </w:r>
      <w:r>
        <w:rPr>
          <w:b/>
          <w:bCs/>
        </w:rPr>
        <w:t xml:space="preserve">Código analítica</w:t>
      </w:r>
      <w:r>
        <w:t xml:space="preserve"> </w:t>
      </w:r>
      <w:r>
        <w:t xml:space="preserve">(10 dígitos comenzando con 43, 45, 46 o 56). De lo contrario estos campos son opcionales.</w:t>
      </w:r>
    </w:p>
    <w:p>
      <w:pPr>
        <w:pStyle w:val="Compact"/>
        <w:numPr>
          <w:ilvl w:val="0"/>
          <w:numId w:val="1007"/>
        </w:numPr>
      </w:pPr>
      <w:r>
        <w:t xml:space="preserve">Seleccione en</w:t>
      </w:r>
      <w:r>
        <w:t xml:space="preserve"> </w:t>
      </w:r>
      <w:r>
        <w:rPr>
          <w:b/>
          <w:bCs/>
        </w:rPr>
        <w:t xml:space="preserve">Cliente accionado</w:t>
      </w:r>
      <w:r>
        <w:t xml:space="preserve"> </w:t>
      </w:r>
      <w:r>
        <w:t xml:space="preserve">una o más tribus/áreas que accionaron el reclamo (Ctrl+clic para seleccionar varios).</w:t>
      </w:r>
    </w:p>
    <w:p>
      <w:pPr>
        <w:pStyle w:val="Compact"/>
        <w:numPr>
          <w:ilvl w:val="0"/>
          <w:numId w:val="1007"/>
        </w:numPr>
      </w:pPr>
      <w:r>
        <w:t xml:space="preserve">Use</w:t>
      </w:r>
      <w:r>
        <w:t xml:space="preserve"> </w:t>
      </w:r>
      <w:r>
        <w:rPr>
          <w:b/>
          <w:bCs/>
        </w:rPr>
        <w:t xml:space="preserve">Añadir involucrado</w:t>
      </w:r>
      <w:r>
        <w:t xml:space="preserve"> </w:t>
      </w:r>
      <w:r>
        <w:t xml:space="preserve">para crear filas que asignan montos a uno o varios colaboradores. Seleccione el colaborador y escriba el monto asignado. No repita colaboradores en la misma lista.</w:t>
      </w:r>
    </w:p>
    <w:p>
      <w:pPr>
        <w:pStyle w:val="Compact"/>
        <w:numPr>
          <w:ilvl w:val="0"/>
          <w:numId w:val="1007"/>
        </w:numPr>
      </w:pPr>
      <w:r>
        <w:t xml:space="preserve">Elimine productos con</w:t>
      </w:r>
      <w:r>
        <w:t xml:space="preserve"> </w:t>
      </w:r>
      <w:r>
        <w:rPr>
          <w:b/>
          <w:bCs/>
        </w:rPr>
        <w:t xml:space="preserve">Eliminar producto</w:t>
      </w:r>
      <w:r>
        <w:t xml:space="preserve"> </w:t>
      </w:r>
      <w:r>
        <w:t xml:space="preserve">y confirme.</w:t>
      </w:r>
    </w:p>
    <w:bookmarkEnd w:id="26"/>
    <w:bookmarkStart w:id="29" w:name="riesgos-y-normas"/>
    <w:p>
      <w:pPr>
        <w:pStyle w:val="Heading2"/>
      </w:pPr>
      <w:r>
        <w:t xml:space="preserve">7. Riesgos y normas</w:t>
      </w:r>
    </w:p>
    <w:bookmarkStart w:id="27" w:name="riesgos"/>
    <w:p>
      <w:pPr>
        <w:pStyle w:val="Heading3"/>
      </w:pPr>
      <w:r>
        <w:t xml:space="preserve">Riesgos</w:t>
      </w:r>
    </w:p>
    <w:p>
      <w:pPr>
        <w:pStyle w:val="Compact"/>
        <w:numPr>
          <w:ilvl w:val="0"/>
          <w:numId w:val="1008"/>
        </w:numPr>
      </w:pPr>
      <w:r>
        <w:t xml:space="preserve">En la pestaña</w:t>
      </w:r>
      <w:r>
        <w:t xml:space="preserve"> </w:t>
      </w:r>
      <w:r>
        <w:rPr>
          <w:b/>
          <w:bCs/>
        </w:rPr>
        <w:t xml:space="preserve">Riesgos</w:t>
      </w:r>
      <w:r>
        <w:t xml:space="preserve">, pulse</w:t>
      </w:r>
      <w:r>
        <w:t xml:space="preserve"> </w:t>
      </w:r>
      <w:r>
        <w:rPr>
          <w:b/>
          <w:bCs/>
        </w:rPr>
        <w:t xml:space="preserve">Añadir riesgo</w:t>
      </w:r>
      <w:r>
        <w:t xml:space="preserve"> </w:t>
      </w:r>
      <w:r>
        <w:t xml:space="preserve">para crear registros. Cada riesgo tiene un ID (formato</w:t>
      </w:r>
      <w:r>
        <w:t xml:space="preserve"> </w:t>
      </w:r>
      <w:r>
        <w:rPr>
          <w:rStyle w:val="VerbatimChar"/>
        </w:rPr>
        <w:t xml:space="preserve">RSK-XXXXXX</w:t>
      </w:r>
      <w:r>
        <w:t xml:space="preserve">), un líder, una descripción, una criticidad (Bajo, Moderado, Relevante, Alto, Crítico), una exposición residual en US$ y planes de acción separados por</w:t>
      </w:r>
      <w:r>
        <w:t xml:space="preserve"> </w:t>
      </w:r>
      <w:r>
        <w:rPr>
          <w:rStyle w:val="VerbatimChar"/>
        </w:rPr>
        <w:t xml:space="preserve">;</w:t>
      </w:r>
      <w:r>
        <w:t xml:space="preserve">. Puede usar</w:t>
      </w:r>
      <w:r>
        <w:t xml:space="preserve"> </w:t>
      </w:r>
      <w:r>
        <w:rPr>
          <w:b/>
          <w:bCs/>
        </w:rPr>
        <w:t xml:space="preserve">Eliminar</w:t>
      </w:r>
      <w:r>
        <w:t xml:space="preserve"> </w:t>
      </w:r>
      <w:r>
        <w:t xml:space="preserve">para borrar un riesgo.</w:t>
      </w:r>
    </w:p>
    <w:p>
      <w:pPr>
        <w:pStyle w:val="Compact"/>
        <w:numPr>
          <w:ilvl w:val="0"/>
          <w:numId w:val="1008"/>
        </w:numPr>
      </w:pPr>
      <w:r>
        <w:t xml:space="preserve">Valide que los IDs de riesgo sean únicos y que los planes no se repitan entre riesgos.</w:t>
      </w:r>
    </w:p>
    <w:bookmarkEnd w:id="27"/>
    <w:bookmarkStart w:id="28" w:name="normas"/>
    <w:p>
      <w:pPr>
        <w:pStyle w:val="Heading3"/>
      </w:pPr>
      <w:r>
        <w:t xml:space="preserve">Normas</w:t>
      </w:r>
    </w:p>
    <w:p>
      <w:pPr>
        <w:pStyle w:val="Compact"/>
        <w:numPr>
          <w:ilvl w:val="0"/>
          <w:numId w:val="1009"/>
        </w:numPr>
      </w:pPr>
      <w:r>
        <w:t xml:space="preserve">En la pestaña</w:t>
      </w:r>
      <w:r>
        <w:t xml:space="preserve"> </w:t>
      </w:r>
      <w:r>
        <w:rPr>
          <w:b/>
          <w:bCs/>
        </w:rPr>
        <w:t xml:space="preserve">Normas</w:t>
      </w:r>
      <w:r>
        <w:t xml:space="preserve">, use</w:t>
      </w:r>
      <w:r>
        <w:t xml:space="preserve"> </w:t>
      </w:r>
      <w:r>
        <w:rPr>
          <w:b/>
          <w:bCs/>
        </w:rPr>
        <w:t xml:space="preserve">Añadir norma</w:t>
      </w:r>
      <w:r>
        <w:t xml:space="preserve"> </w:t>
      </w:r>
      <w:r>
        <w:t xml:space="preserve">para crear registros. Introduzca el número de norma (</w:t>
      </w:r>
      <w:r>
        <w:rPr>
          <w:rStyle w:val="VerbatimChar"/>
        </w:rPr>
        <w:t xml:space="preserve">XXXX.XXX.XX.XX</w:t>
      </w:r>
      <w:r>
        <w:t xml:space="preserve">) o déjelo en blanco para que se genere un correlativo aleatorio. Agregue una descripción y la fecha de vigencia (no puede ser futura). Puede eliminar normas con el botón</w:t>
      </w:r>
      <w:r>
        <w:t xml:space="preserve"> </w:t>
      </w:r>
      <w:r>
        <w:rPr>
          <w:b/>
          <w:bCs/>
        </w:rPr>
        <w:t xml:space="preserve">Eliminar</w:t>
      </w:r>
      <w:r>
        <w:t xml:space="preserve">.</w:t>
      </w:r>
    </w:p>
    <w:bookmarkEnd w:id="28"/>
    <w:bookmarkEnd w:id="29"/>
    <w:bookmarkStart w:id="30" w:name="análisis-y-narrativas"/>
    <w:p>
      <w:pPr>
        <w:pStyle w:val="Heading2"/>
      </w:pPr>
      <w:r>
        <w:t xml:space="preserve">8. Análisis y narrativas</w:t>
      </w:r>
    </w:p>
    <w:p>
      <w:pPr>
        <w:pStyle w:val="Compact"/>
        <w:numPr>
          <w:ilvl w:val="0"/>
          <w:numId w:val="1010"/>
        </w:numPr>
      </w:pPr>
      <w:r>
        <w:t xml:space="preserve">En la pestaña</w:t>
      </w:r>
      <w:r>
        <w:t xml:space="preserve"> </w:t>
      </w:r>
      <w:r>
        <w:rPr>
          <w:b/>
          <w:bCs/>
        </w:rPr>
        <w:t xml:space="preserve">Análisis</w:t>
      </w:r>
      <w:r>
        <w:t xml:space="preserve">, escriba las narrativas de</w:t>
      </w:r>
      <w:r>
        <w:t xml:space="preserve"> </w:t>
      </w:r>
      <w:r>
        <w:rPr>
          <w:b/>
          <w:bCs/>
        </w:rPr>
        <w:t xml:space="preserve">Antecedentes</w:t>
      </w:r>
      <w:r>
        <w:t xml:space="preserve">,</w:t>
      </w:r>
      <w:r>
        <w:t xml:space="preserve"> </w:t>
      </w:r>
      <w:r>
        <w:rPr>
          <w:b/>
          <w:bCs/>
        </w:rPr>
        <w:t xml:space="preserve">Modus operandi</w:t>
      </w:r>
      <w:r>
        <w:t xml:space="preserve">,</w:t>
      </w:r>
      <w:r>
        <w:t xml:space="preserve"> </w:t>
      </w:r>
      <w:r>
        <w:rPr>
          <w:b/>
          <w:bCs/>
        </w:rPr>
        <w:t xml:space="preserve">Hallazgos principales</w:t>
      </w:r>
      <w:r>
        <w:t xml:space="preserve">,</w:t>
      </w:r>
      <w:r>
        <w:t xml:space="preserve"> </w:t>
      </w:r>
      <w:r>
        <w:rPr>
          <w:b/>
          <w:bCs/>
        </w:rPr>
        <w:t xml:space="preserve">Descargos del colaborador</w:t>
      </w:r>
      <w:r>
        <w:t xml:space="preserve">,</w:t>
      </w:r>
      <w:r>
        <w:t xml:space="preserve"> </w:t>
      </w:r>
      <w:r>
        <w:rPr>
          <w:b/>
          <w:bCs/>
        </w:rPr>
        <w:t xml:space="preserve">Conclusiones</w:t>
      </w:r>
      <w:r>
        <w:t xml:space="preserve"> </w:t>
      </w:r>
      <w:r>
        <w:t xml:space="preserve">y</w:t>
      </w:r>
      <w:r>
        <w:t xml:space="preserve"> </w:t>
      </w:r>
      <w:r>
        <w:rPr>
          <w:b/>
          <w:bCs/>
        </w:rPr>
        <w:t xml:space="preserve">Recomendaciones y mejoras</w:t>
      </w:r>
      <w:r>
        <w:t xml:space="preserve">. Estos campos aceptan texto libre.</w:t>
      </w:r>
    </w:p>
    <w:bookmarkEnd w:id="30"/>
    <w:bookmarkStart w:id="31" w:name="acciones-y-gestión-de-versiones"/>
    <w:p>
      <w:pPr>
        <w:pStyle w:val="Heading2"/>
      </w:pPr>
      <w:r>
        <w:t xml:space="preserve">9. Acciones y gestión de versiones</w:t>
      </w:r>
    </w:p>
    <w:p>
      <w:pPr>
        <w:pStyle w:val="Compact"/>
        <w:numPr>
          <w:ilvl w:val="0"/>
          <w:numId w:val="1011"/>
        </w:numPr>
      </w:pPr>
      <w:r>
        <w:t xml:space="preserve">En la pestaña</w:t>
      </w:r>
      <w:r>
        <w:t xml:space="preserve"> </w:t>
      </w:r>
      <w:r>
        <w:rPr>
          <w:b/>
          <w:bCs/>
        </w:rPr>
        <w:t xml:space="preserve">Acciones</w:t>
      </w:r>
      <w:r>
        <w:t xml:space="preserve"> </w:t>
      </w:r>
      <w:r>
        <w:t xml:space="preserve">encontrará los botones:</w:t>
      </w:r>
    </w:p>
    <w:p>
      <w:pPr>
        <w:pStyle w:val="Compact"/>
        <w:numPr>
          <w:ilvl w:val="0"/>
          <w:numId w:val="1011"/>
        </w:numPr>
      </w:pPr>
      <w:r>
        <w:rPr>
          <w:b/>
          <w:bCs/>
        </w:rPr>
        <w:t xml:space="preserve">Guardar y enviar</w:t>
      </w:r>
      <w:r>
        <w:t xml:space="preserve">: Valida todos los datos. Si no hay errores, abre un cuadro de diálogo para seleccionar una carpeta de destino. La aplicación genera varios archivos CSV (casos, clientes, colaboradores, productos, reclamos, asignaciones, riesgos, normas, análisis, logs) y un archivo JSON con el estado completo. Los ficheros se nombran con el ID del caso.</w:t>
      </w:r>
    </w:p>
    <w:p>
      <w:pPr>
        <w:pStyle w:val="Compact"/>
        <w:numPr>
          <w:ilvl w:val="0"/>
          <w:numId w:val="1011"/>
        </w:numPr>
      </w:pPr>
      <w:r>
        <w:rPr>
          <w:b/>
          <w:bCs/>
        </w:rPr>
        <w:t xml:space="preserve">Cargar versión</w:t>
      </w:r>
      <w:r>
        <w:t xml:space="preserve">: Permite elegir un archivo JSON generado previamente para restaurar el formulario al estado guardado.</w:t>
      </w:r>
    </w:p>
    <w:p>
      <w:pPr>
        <w:pStyle w:val="Compact"/>
        <w:numPr>
          <w:ilvl w:val="0"/>
          <w:numId w:val="1011"/>
        </w:numPr>
      </w:pPr>
      <w:r>
        <w:rPr>
          <w:b/>
          <w:bCs/>
        </w:rPr>
        <w:t xml:space="preserve">Borrar todos los datos</w:t>
      </w:r>
      <w:r>
        <w:t xml:space="preserve">: Elimina el contenido del formulario y el autosave tras confirmación.</w:t>
      </w:r>
    </w:p>
    <w:p>
      <w:pPr>
        <w:numPr>
          <w:ilvl w:val="0"/>
          <w:numId w:val="1011"/>
        </w:numPr>
      </w:pPr>
      <w:r>
        <w:rPr>
          <w:b/>
          <w:bCs/>
        </w:rPr>
        <w:t xml:space="preserve">Importar CSV</w:t>
      </w:r>
      <w:r>
        <w:t xml:space="preserve">: Botones para cargar clientes, colaboradores, productos, combinados, riesgos, normas y reclamos. Seleccione el archivo adecuado y revise que los datos aparezcan en sus pestañas correspondientes. Se omitirán registros duplicados.</w:t>
      </w:r>
    </w:p>
    <w:p>
      <w:pPr>
        <w:numPr>
          <w:ilvl w:val="0"/>
          <w:numId w:val="1011"/>
        </w:numPr>
      </w:pPr>
      <w:r>
        <w:t xml:space="preserve">Además, la aplicación guarda versiones temporales (</w:t>
      </w:r>
      <w:r>
        <w:rPr>
          <w:rStyle w:val="VerbatimChar"/>
        </w:rPr>
        <w:t xml:space="preserve">&lt;id_caso&gt;_temp_&lt;timestamp&gt;.json</w:t>
      </w:r>
      <w:r>
        <w:t xml:space="preserve">) cada vez que se edita un campo. Estos archivos se crean en la misma carpeta del script para tener un historial de cambios.</w:t>
      </w:r>
    </w:p>
    <w:p>
      <w:pPr>
        <w:pStyle w:val="Compact"/>
        <w:numPr>
          <w:ilvl w:val="0"/>
          <w:numId w:val="1011"/>
        </w:numPr>
      </w:pPr>
      <w:r>
        <w:t xml:space="preserve">Los eventos (navegación, validación, advertencias) se registran en un log interno. Al usar</w:t>
      </w:r>
      <w:r>
        <w:t xml:space="preserve"> </w:t>
      </w:r>
      <w:r>
        <w:rPr>
          <w:b/>
          <w:bCs/>
        </w:rPr>
        <w:t xml:space="preserve">Guardar y enviar</w:t>
      </w:r>
      <w:r>
        <w:t xml:space="preserve">, se exportan en</w:t>
      </w:r>
      <w:r>
        <w:t xml:space="preserve"> </w:t>
      </w:r>
      <w:r>
        <w:rPr>
          <w:rStyle w:val="VerbatimChar"/>
        </w:rPr>
        <w:t xml:space="preserve">logs.csv</w:t>
      </w:r>
      <w:r>
        <w:t xml:space="preserve"> </w:t>
      </w:r>
      <w:r>
        <w:t xml:space="preserve">para su análisis.</w:t>
      </w:r>
    </w:p>
    <w:bookmarkEnd w:id="31"/>
    <w:bookmarkStart w:id="32" w:name="pruebas-de-validación-de-negocio"/>
    <w:p>
      <w:pPr>
        <w:pStyle w:val="Heading2"/>
      </w:pPr>
      <w:r>
        <w:t xml:space="preserve">10. Pruebas de validación de negocio</w:t>
      </w:r>
    </w:p>
    <w:p>
      <w:pPr>
        <w:pStyle w:val="FirstParagraph"/>
      </w:pPr>
      <w:r>
        <w:t xml:space="preserve">Para garantizar que las reglas se apliquen correctamente, pruebe los siguientes escenarios:</w:t>
      </w:r>
    </w:p>
    <w:p>
      <w:pPr>
        <w:pStyle w:val="Compact"/>
        <w:numPr>
          <w:ilvl w:val="0"/>
          <w:numId w:val="1012"/>
        </w:numPr>
      </w:pPr>
      <w:r>
        <w:rPr>
          <w:b/>
          <w:bCs/>
        </w:rPr>
        <w:t xml:space="preserve">Clave técnica duplicada</w:t>
      </w:r>
      <w:r>
        <w:t xml:space="preserve">: Cree dos productos con el mismo ID, cliente, colaborador, fecha de ocurrencia e ID de reclamo. El sistema debe advertir de la duplicidad.</w:t>
      </w:r>
    </w:p>
    <w:p>
      <w:pPr>
        <w:pStyle w:val="Compact"/>
        <w:numPr>
          <w:ilvl w:val="0"/>
          <w:numId w:val="1012"/>
        </w:numPr>
      </w:pPr>
      <w:r>
        <w:rPr>
          <w:b/>
          <w:bCs/>
        </w:rPr>
        <w:t xml:space="preserve">Fechas fuera de orden</w:t>
      </w:r>
      <w:r>
        <w:t xml:space="preserve">: Ponga la fecha de descubrimiento antes de la de ocurrencia. Debe aparecer un error.</w:t>
      </w:r>
    </w:p>
    <w:p>
      <w:pPr>
        <w:pStyle w:val="Compact"/>
        <w:numPr>
          <w:ilvl w:val="0"/>
          <w:numId w:val="1012"/>
        </w:numPr>
      </w:pPr>
      <w:r>
        <w:rPr>
          <w:b/>
          <w:bCs/>
        </w:rPr>
        <w:t xml:space="preserve">Reclamo obligatorio</w:t>
      </w:r>
      <w:r>
        <w:t xml:space="preserve">: Ingrese un monto de pérdida mayor a cero sin rellenar los campos de reclamo; el sistema exigirá completarlos.</w:t>
      </w:r>
    </w:p>
    <w:p>
      <w:pPr>
        <w:pStyle w:val="Compact"/>
        <w:numPr>
          <w:ilvl w:val="0"/>
          <w:numId w:val="1012"/>
        </w:numPr>
      </w:pPr>
      <w:r>
        <w:rPr>
          <w:b/>
          <w:bCs/>
        </w:rPr>
        <w:t xml:space="preserve">Suma de montos</w:t>
      </w:r>
      <w:r>
        <w:t xml:space="preserve">: Introduzca valores que no sumen al monto investigado. Se mostrará un error y deberá corregirlos.</w:t>
      </w:r>
    </w:p>
    <w:p>
      <w:pPr>
        <w:pStyle w:val="Compact"/>
        <w:numPr>
          <w:ilvl w:val="0"/>
          <w:numId w:val="1012"/>
        </w:numPr>
      </w:pPr>
      <w:r>
        <w:rPr>
          <w:b/>
          <w:bCs/>
        </w:rPr>
        <w:t xml:space="preserve">Contingencia en créditos y tarjetas</w:t>
      </w:r>
      <w:r>
        <w:t xml:space="preserve">: Seleccione “Crédito personal” o “Tarjeta de crédito” y asegúrese de que la contingencia sea igual al monto investigado. Si no lo es, se marca error.</w:t>
      </w:r>
    </w:p>
    <w:p>
      <w:pPr>
        <w:pStyle w:val="Compact"/>
        <w:numPr>
          <w:ilvl w:val="0"/>
          <w:numId w:val="1012"/>
        </w:numPr>
      </w:pPr>
      <w:r>
        <w:rPr>
          <w:b/>
          <w:bCs/>
        </w:rPr>
        <w:t xml:space="preserve">Código analítica</w:t>
      </w:r>
      <w:r>
        <w:t xml:space="preserve">: Introduzca un código analítica de menos de 10 dígitos o que no empiece por 43, 45, 46 o 56. Debería mostrar un error.</w:t>
      </w:r>
    </w:p>
    <w:p>
      <w:pPr>
        <w:pStyle w:val="Compact"/>
        <w:numPr>
          <w:ilvl w:val="0"/>
          <w:numId w:val="1012"/>
        </w:numPr>
      </w:pPr>
      <w:r>
        <w:rPr>
          <w:b/>
          <w:bCs/>
        </w:rPr>
        <w:t xml:space="preserve">Validación de IDs</w:t>
      </w:r>
      <w:r>
        <w:t xml:space="preserve">: Escriba IDs de cliente, colaborador o riesgo con formatos incorrectos; los campos deben marcarse en rojo y aparecer un mensaje explicando el formato correcto.</w:t>
      </w:r>
    </w:p>
    <w:p>
      <w:pPr>
        <w:pStyle w:val="Compact"/>
        <w:numPr>
          <w:ilvl w:val="0"/>
          <w:numId w:val="1012"/>
        </w:numPr>
      </w:pPr>
      <w:r>
        <w:rPr>
          <w:b/>
          <w:bCs/>
        </w:rPr>
        <w:t xml:space="preserve">Autopoblado</w:t>
      </w:r>
      <w:r>
        <w:t xml:space="preserve">: Introduzca un ID de cliente o colaborador que figure en los archivos</w:t>
      </w:r>
      <w:r>
        <w:t xml:space="preserve"> </w:t>
      </w:r>
      <w:r>
        <w:rPr>
          <w:rStyle w:val="VerbatimChar"/>
        </w:rPr>
        <w:t xml:space="preserve">client_details.csv</w:t>
      </w:r>
      <w:r>
        <w:t xml:space="preserve"> </w:t>
      </w:r>
      <w:r>
        <w:t xml:space="preserve">o</w:t>
      </w:r>
      <w:r>
        <w:t xml:space="preserve"> </w:t>
      </w:r>
      <w:r>
        <w:rPr>
          <w:rStyle w:val="VerbatimChar"/>
        </w:rPr>
        <w:t xml:space="preserve">team_details.csv</w:t>
      </w:r>
      <w:r>
        <w:t xml:space="preserve">. Sus datos se rellenan automáticamente. Escriba uno inexistente y compruebe que aparece una advertencia en el log.</w:t>
      </w:r>
    </w:p>
    <w:p>
      <w:pPr>
        <w:pStyle w:val="Compact"/>
        <w:numPr>
          <w:ilvl w:val="0"/>
          <w:numId w:val="1012"/>
        </w:numPr>
      </w:pPr>
      <w:r>
        <w:rPr>
          <w:b/>
          <w:bCs/>
        </w:rPr>
        <w:t xml:space="preserve">Advertencia de Fraude Externo</w:t>
      </w:r>
      <w:r>
        <w:t xml:space="preserve">: Seleccione “Fraude Externo” en la categoría Nivel 2 y verifique que se muestre el mensaje de advertencia sobre reclamos externos.</w:t>
      </w:r>
    </w:p>
    <w:p>
      <w:pPr>
        <w:pStyle w:val="Compact"/>
        <w:numPr>
          <w:ilvl w:val="0"/>
          <w:numId w:val="1012"/>
        </w:numPr>
      </w:pPr>
      <w:r>
        <w:rPr>
          <w:b/>
          <w:bCs/>
        </w:rPr>
        <w:t xml:space="preserve">Guardar y cargar</w:t>
      </w:r>
      <w:r>
        <w:t xml:space="preserve">: Llene el formulario con un caso de ejemplo y utilice “Guardar y enviar”. Examine los archivos CSV generados para comprobar que las relaciones se representan correctamente. Luego borre los datos, pulse “Cargar versión” y elija el archivo JSON recién guardado; el formulario debe reconstruirse exactamente como antes.</w:t>
      </w:r>
    </w:p>
    <w:bookmarkEnd w:id="32"/>
    <w:bookmarkStart w:id="33" w:name="análisis-de-logs"/>
    <w:p>
      <w:pPr>
        <w:pStyle w:val="Heading2"/>
      </w:pPr>
      <w:r>
        <w:t xml:space="preserve">11. Análisis de logs</w:t>
      </w:r>
    </w:p>
    <w:p>
      <w:pPr>
        <w:pStyle w:val="FirstParagraph"/>
      </w:pPr>
      <w:r>
        <w:t xml:space="preserve">Los eventos registrados en</w:t>
      </w:r>
      <w:r>
        <w:t xml:space="preserve"> </w:t>
      </w:r>
      <w:r>
        <w:rPr>
          <w:rStyle w:val="VerbatimChar"/>
        </w:rPr>
        <w:t xml:space="preserve">logs.csv</w:t>
      </w:r>
      <w:r>
        <w:t xml:space="preserve"> </w:t>
      </w:r>
      <w:r>
        <w:t xml:space="preserve">incluyen:</w:t>
      </w:r>
    </w:p>
    <w:p>
      <w:pPr>
        <w:pStyle w:val="Compact"/>
        <w:numPr>
          <w:ilvl w:val="0"/>
          <w:numId w:val="1013"/>
        </w:numPr>
      </w:pPr>
      <w:r>
        <w:rPr>
          <w:b/>
          <w:bCs/>
        </w:rPr>
        <w:t xml:space="preserve">timestamp</w:t>
      </w:r>
      <w:r>
        <w:t xml:space="preserve">: Fecha y hora en que ocurrió el evento.</w:t>
      </w:r>
    </w:p>
    <w:p>
      <w:pPr>
        <w:pStyle w:val="Compact"/>
        <w:numPr>
          <w:ilvl w:val="0"/>
          <w:numId w:val="1013"/>
        </w:numPr>
      </w:pPr>
      <w:r>
        <w:rPr>
          <w:b/>
          <w:bCs/>
        </w:rPr>
        <w:t xml:space="preserve">tipo</w:t>
      </w:r>
      <w:r>
        <w:t xml:space="preserve">: "navegacion" para cambios de campos, "validacion" para errores y advertencias.</w:t>
      </w:r>
    </w:p>
    <w:p>
      <w:pPr>
        <w:pStyle w:val="Compact"/>
        <w:numPr>
          <w:ilvl w:val="0"/>
          <w:numId w:val="1013"/>
        </w:numPr>
      </w:pPr>
      <w:r>
        <w:rPr>
          <w:b/>
          <w:bCs/>
        </w:rPr>
        <w:t xml:space="preserve">mensaje</w:t>
      </w:r>
      <w:r>
        <w:t xml:space="preserve">: Descripción del evento (qué campo se modificó, si hubo errores, etc.).</w:t>
      </w:r>
    </w:p>
    <w:p>
      <w:pPr>
        <w:pStyle w:val="FirstParagraph"/>
      </w:pPr>
      <w:r>
        <w:t xml:space="preserve">Utilice esta información para detectar los puntos del formulario donde los usuarios cometen más errores o tardan más tiempo, lo que ayudará a mejorar la usabilidad y las validaciones.</w:t>
      </w:r>
    </w:p>
    <w:p>
      <w:r>
        <w:pict>
          <v:rect style="width:0;height:1.5pt" o:hralign="center" o:hrstd="t" o:hr="t"/>
        </w:pict>
      </w:r>
    </w:p>
    <w:p>
      <w:pPr>
        <w:pStyle w:val="FirstParagraph"/>
      </w:pPr>
      <w:r>
        <w:t xml:space="preserve">Con esta guía y el script proporcionado, podrá recrear la gestión de casos de fraude en un entorno de escritorio, probar todas las reglas de negocio, importar datos masivamente y analizar los registros para mejorar la experiencia del usuario.</w:t>
      </w:r>
    </w:p>
    <w:bookmarkEnd w:id="33"/>
    <w:bookmarkEnd w:id="34"/>
    <w:bookmarkEnd w:id="35"/>
    <w:p>
      <w:r>
        <w:pict>
          <v:rect style="width:0;height:1.5pt" o:hralign="center" o:hrstd="t" o:hr="t"/>
        </w:pict>
      </w:r>
    </w:p>
    <w:bookmarkStart w:id="36" w:name="citations"/>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2025-11-14T16:27:25Z</dcterms:created>
  <dcterms:modified xsi:type="dcterms:W3CDTF">2025-11-14T16:27:25Z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