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tion-identification-scope"/>
    <w:p>
      <w:pPr>
        <w:pStyle w:val="Heading1"/>
      </w:pPr>
      <w:r>
        <w:t xml:space="preserve">1. Section Identification &amp; Scope</w:t>
      </w:r>
    </w:p>
    <w:p>
      <w:pPr>
        <w:pStyle w:val="FirstParagraph"/>
      </w:pPr>
      <w:r>
        <w:rPr>
          <w:b/>
          <w:bCs/>
        </w:rPr>
        <w:t xml:space="preserve">Section 31 —</w:t>
      </w:r>
      <w:r>
        <w:rPr>
          <w:b/>
          <w:bCs/>
        </w:rPr>
        <w:t xml:space="preserve"> </w:t>
      </w:r>
      <w:r>
        <w:rPr>
          <w:b/>
          <w:bCs/>
        </w:rPr>
        <w:t xml:space="preserve">“Grafos y evidencia relacional”</w:t>
      </w:r>
      <w:r>
        <w:br/>
      </w:r>
      <w:r>
        <w:t xml:space="preserve">Short title:</w:t>
      </w:r>
      <w:r>
        <w:t xml:space="preserve"> </w:t>
      </w:r>
      <w:r>
        <w:rPr>
          <w:b/>
          <w:bCs/>
        </w:rPr>
        <w:t xml:space="preserve">“Grafos y evidencia”</w:t>
      </w:r>
      <w:r>
        <w:br/>
      </w:r>
      <w:r>
        <w:t xml:space="preserve">Level:</w:t>
      </w:r>
      <w:r>
        <w:t xml:space="preserve"> </w:t>
      </w:r>
      <w:r>
        <w:rPr>
          <w:b/>
          <w:bCs/>
        </w:rPr>
        <w:t xml:space="preserve">Competente a experto</w:t>
      </w:r>
      <w:r>
        <w:br/>
      </w:r>
      <w:r>
        <w:t xml:space="preserve">Estimated duration:</w:t>
      </w:r>
      <w:r>
        <w:t xml:space="preserve"> </w:t>
      </w:r>
      <w:r>
        <w:rPr>
          <w:b/>
          <w:bCs/>
        </w:rPr>
        <w:t xml:space="preserve">18 hours</w:t>
      </w:r>
      <w:r>
        <w:br/>
      </w:r>
      <w:r>
        <w:t xml:space="preserve">Project increment:</w:t>
      </w:r>
      <w:r>
        <w:t xml:space="preserve"> </w:t>
      </w:r>
      <w:r>
        <w:rPr>
          <w:b/>
          <w:bCs/>
        </w:rPr>
        <w:t xml:space="preserve">Start of CP-N3-B</w:t>
      </w:r>
    </w:p>
    <w:p>
      <w:pPr>
        <w:pStyle w:val="BodyText"/>
      </w:pPr>
      <w:r>
        <w:t xml:space="preserve">The live catalogue confirms that Section 31 is intended to produce a temporal graph that answers how entities are connected through a reproducible path without interpreting centrality as culpability.</w:t>
      </w:r>
    </w:p>
    <w:p>
      <w:pPr>
        <w:pStyle w:val="BodyText"/>
      </w:pPr>
      <w:r>
        <w:t xml:space="preserve">The audit covered:</w:t>
      </w:r>
    </w:p>
    <w:p>
      <w:pPr>
        <w:pStyle w:val="Compact"/>
        <w:numPr>
          <w:ilvl w:val="0"/>
          <w:numId w:val="1001"/>
        </w:numPr>
      </w:pPr>
      <w:r>
        <w:t xml:space="preserve">the live public catalogue and routing behaviour;</w:t>
      </w:r>
    </w:p>
    <w:p>
      <w:pPr>
        <w:pStyle w:val="Compact"/>
        <w:numPr>
          <w:ilvl w:val="0"/>
          <w:numId w:val="1001"/>
        </w:numPr>
      </w:pPr>
      <w:r>
        <w:t xml:space="preserve">the authoritative roadmap contract;</w:t>
      </w:r>
    </w:p>
    <w:p>
      <w:pPr>
        <w:pStyle w:val="Compact"/>
        <w:numPr>
          <w:ilvl w:val="0"/>
          <w:numId w:val="1001"/>
        </w:numPr>
      </w:pPr>
      <w:r>
        <w:t xml:space="preserve">all eight theory subtopics;</w:t>
      </w:r>
    </w:p>
    <w:p>
      <w:pPr>
        <w:pStyle w:val="Compact"/>
        <w:numPr>
          <w:ilvl w:val="0"/>
          <w:numId w:val="1001"/>
        </w:numPr>
      </w:pPr>
      <w:r>
        <w:t xml:space="preserve">all eight I Do demonstrations;</w:t>
      </w:r>
    </w:p>
    <w:p>
      <w:pPr>
        <w:pStyle w:val="Compact"/>
        <w:numPr>
          <w:ilvl w:val="0"/>
          <w:numId w:val="1001"/>
        </w:numPr>
      </w:pPr>
      <w:r>
        <w:t xml:space="preserve">all 24 We Do exercises, including hints, starter code, solutions, expected outputs and feedback;</w:t>
      </w:r>
    </w:p>
    <w:p>
      <w:pPr>
        <w:pStyle w:val="Compact"/>
        <w:numPr>
          <w:ilvl w:val="0"/>
          <w:numId w:val="1001"/>
        </w:numPr>
      </w:pPr>
      <w:r>
        <w:t xml:space="preserve">the integrated You Do project and rubric;</w:t>
      </w:r>
    </w:p>
    <w:p>
      <w:pPr>
        <w:pStyle w:val="Compact"/>
        <w:numPr>
          <w:ilvl w:val="0"/>
          <w:numId w:val="1001"/>
        </w:numPr>
      </w:pPr>
      <w:r>
        <w:t xml:space="preserve">the ten-question self-check;</w:t>
      </w:r>
    </w:p>
    <w:p>
      <w:pPr>
        <w:pStyle w:val="Compact"/>
        <w:numPr>
          <w:ilvl w:val="0"/>
          <w:numId w:val="1001"/>
        </w:numPr>
      </w:pPr>
      <w:r>
        <w:t xml:space="preserve">the 24-question exam seed bank;</w:t>
      </w:r>
    </w:p>
    <w:p>
      <w:pPr>
        <w:pStyle w:val="Compact"/>
        <w:numPr>
          <w:ilvl w:val="0"/>
          <w:numId w:val="1001"/>
        </w:numPr>
      </w:pPr>
      <w:r>
        <w:t xml:space="preserve">resources, ledger status and completion-gate scripts.</w:t>
      </w:r>
    </w:p>
    <w:p>
      <w:pPr>
        <w:pStyle w:val="FirstParagraph"/>
      </w:pPr>
      <w:r>
        <w:t xml:space="preserve">The authoritative roadmap requires eight subtopics, eight demonstrations, 24 exercises, four topic evaluations, 24 A/B/C exam variants, one section exam and one project increment. For S31 specifically, it requires graph modelling, temporal multigraphs and provenance, graph construction, aggregation without deleting detail, graph algorithms, restricted centrality interpretation, testing, scalability, privacy and evidence per edge.</w:t>
      </w:r>
    </w:p>
    <w:p>
      <w:pPr>
        <w:pStyle w:val="BodyText"/>
      </w:pPr>
      <w:r>
        <w:t xml:space="preserve">The public lesson body is client-rendered through a hash route, so the live crawler exposes the catalogue but not every opened tab. Lesson-body findings are therefore grounded in the exact</w:t>
      </w:r>
      <w:r>
        <w:t xml:space="preserve"> </w:t>
      </w:r>
      <w:r>
        <w:rPr>
          <w:rStyle w:val="VerbatimChar"/>
        </w:rPr>
        <w:t xml:space="preserve">CourseSection</w:t>
      </w:r>
      <w:r>
        <w:t xml:space="preserve"> </w:t>
      </w:r>
      <w:r>
        <w:t xml:space="preserve">object that powers the rendered interface. The route helper confirms that the section is selected using its source</w:t>
      </w:r>
      <w:r>
        <w:t xml:space="preserve"> </w:t>
      </w:r>
      <w:r>
        <w:rPr>
          <w:rStyle w:val="VerbatimChar"/>
        </w:rPr>
        <w:t xml:space="preserve">id</w:t>
      </w:r>
      <w:r>
        <w:t xml:space="preserve"> </w:t>
      </w:r>
      <w:r>
        <w:t xml:space="preserve">and verified with</w:t>
      </w:r>
      <w:r>
        <w:t xml:space="preserve"> </w:t>
      </w:r>
      <w:r>
        <w:rPr>
          <w:rStyle w:val="VerbatimChar"/>
        </w:rPr>
        <w:t xml:space="preserve">data-section-id</w:t>
      </w:r>
      <w:r>
        <w:t xml:space="preserve">.</w:t>
      </w:r>
    </w:p>
    <w:bookmarkEnd w:id="20"/>
    <w:bookmarkStart w:id="23" w:name="executive-summary-of-quality"/>
    <w:p>
      <w:pPr>
        <w:pStyle w:val="Heading1"/>
      </w:pPr>
      <w:r>
        <w:t xml:space="preserve">2. Executive Summary of Quality</w:t>
      </w:r>
    </w:p>
    <w:bookmarkStart w:id="21" w:name="score-5.810"/>
    <w:p>
      <w:pPr>
        <w:pStyle w:val="Heading2"/>
      </w:pPr>
      <w:r>
        <w:t xml:space="preserve">Score:</w:t>
      </w:r>
      <w:r>
        <w:t xml:space="preserve"> </w:t>
      </w:r>
      <w:r>
        <w:rPr>
          <w:b/>
          <w:bCs/>
        </w:rPr>
        <w:t xml:space="preserve">5.8/10</w:t>
      </w:r>
    </w:p>
    <w:bookmarkEnd w:id="21"/>
    <w:bookmarkStart w:id="22" w:name="key-verdict"/>
    <w:p>
      <w:pPr>
        <w:pStyle w:val="Heading2"/>
      </w:pPr>
      <w:r>
        <w:t xml:space="preserve">Key verdict</w:t>
      </w:r>
    </w:p>
    <w:p>
      <w:pPr>
        <w:pStyle w:val="FirstParagraph"/>
      </w:pPr>
      <w:r>
        <w:rPr>
          <w:b/>
          <w:bCs/>
        </w:rPr>
        <w:t xml:space="preserve">Section 31 has a strong, responsible curriculum thesis but contains technical and assessment defects serious enough that it should not currently remain marked</w:t>
      </w:r>
      <w:r>
        <w:rPr>
          <w:b/>
          <w:bCs/>
        </w:rPr>
        <w:t xml:space="preserve"> </w:t>
      </w:r>
      <w:r>
        <w:rPr>
          <w:rStyle w:val="VerbatimChar"/>
          <w:b/>
          <w:bCs/>
        </w:rPr>
        <w:t xml:space="preserve">PHASE_6_PASSED</w:t>
      </w:r>
      <w:r>
        <w:rPr>
          <w:b/>
          <w:bCs/>
        </w:rPr>
        <w:t xml:space="preserve">.</w:t>
      </w:r>
    </w:p>
    <w:p>
      <w:pPr>
        <w:pStyle w:val="BodyText"/>
      </w:pPr>
      <w:r>
        <w:t xml:space="preserve">Its strongest qualities are:</w:t>
      </w:r>
    </w:p>
    <w:p>
      <w:pPr>
        <w:pStyle w:val="Compact"/>
        <w:numPr>
          <w:ilvl w:val="0"/>
          <w:numId w:val="1002"/>
        </w:numPr>
      </w:pPr>
      <w:r>
        <w:t xml:space="preserve">an excellent transition from S30 entity resolution into relational evidence;</w:t>
      </w:r>
    </w:p>
    <w:p>
      <w:pPr>
        <w:pStyle w:val="Compact"/>
        <w:numPr>
          <w:ilvl w:val="0"/>
          <w:numId w:val="1002"/>
        </w:numPr>
      </w:pPr>
      <w:r>
        <w:t xml:space="preserve">a coherent synthetic investigation case;</w:t>
      </w:r>
    </w:p>
    <w:p>
      <w:pPr>
        <w:pStyle w:val="Compact"/>
        <w:numPr>
          <w:ilvl w:val="0"/>
          <w:numId w:val="1002"/>
        </w:numPr>
      </w:pPr>
      <w:r>
        <w:t xml:space="preserve">a provenance-first mindset;</w:t>
      </w:r>
    </w:p>
    <w:p>
      <w:pPr>
        <w:pStyle w:val="Compact"/>
        <w:numPr>
          <w:ilvl w:val="0"/>
          <w:numId w:val="1002"/>
        </w:numPr>
      </w:pPr>
      <w:r>
        <w:t xml:space="preserve">explicit preservation of atomic evidence alongside aggregates;</w:t>
      </w:r>
    </w:p>
    <w:p>
      <w:pPr>
        <w:pStyle w:val="Compact"/>
        <w:numPr>
          <w:ilvl w:val="0"/>
          <w:numId w:val="1002"/>
        </w:numPr>
      </w:pPr>
      <w:r>
        <w:t xml:space="preserve">strong privacy and human-review boundaries;</w:t>
      </w:r>
    </w:p>
    <w:p>
      <w:pPr>
        <w:pStyle w:val="Compact"/>
        <w:numPr>
          <w:ilvl w:val="0"/>
          <w:numId w:val="1002"/>
        </w:numPr>
      </w:pPr>
      <w:r>
        <w:t xml:space="preserve">repeated warnings that centrality, contact sharing and paths are not verdicts;</w:t>
      </w:r>
    </w:p>
    <w:p>
      <w:pPr>
        <w:pStyle w:val="Compact"/>
        <w:numPr>
          <w:ilvl w:val="0"/>
          <w:numId w:val="1002"/>
        </w:numPr>
      </w:pPr>
      <w:r>
        <w:t xml:space="preserve">an ambitious, portfolio-relevant CP-N3-B project.</w:t>
      </w:r>
    </w:p>
    <w:p>
      <w:pPr>
        <w:pStyle w:val="FirstParagraph"/>
      </w:pPr>
      <w:r>
        <w:t xml:space="preserve">Its principal release blockers are:</w:t>
      </w:r>
    </w:p>
    <w:p>
      <w:pPr>
        <w:pStyle w:val="Compact"/>
        <w:numPr>
          <w:ilvl w:val="0"/>
          <w:numId w:val="1003"/>
        </w:numPr>
      </w:pPr>
      <w:r>
        <w:t xml:space="preserve">The lesson teaches an incorrect formula under the standard name</w:t>
      </w:r>
      <w:r>
        <w:t xml:space="preserve"> </w:t>
      </w:r>
      <w:r>
        <w:rPr>
          <w:b/>
          <w:bCs/>
        </w:rPr>
        <w:t xml:space="preserve">degree centrality</w:t>
      </w:r>
      <w:r>
        <w:t xml:space="preserve">.</w:t>
      </w:r>
    </w:p>
    <w:p>
      <w:pPr>
        <w:pStyle w:val="Compact"/>
        <w:numPr>
          <w:ilvl w:val="0"/>
          <w:numId w:val="1003"/>
        </w:numPr>
      </w:pPr>
      <w:r>
        <w:t xml:space="preserve">A supposedly deterministic builder destroys edge direction.</w:t>
      </w:r>
    </w:p>
    <w:p>
      <w:pPr>
        <w:pStyle w:val="Compact"/>
        <w:numPr>
          <w:ilvl w:val="0"/>
          <w:numId w:val="1003"/>
        </w:numPr>
      </w:pPr>
      <w:r>
        <w:t xml:space="preserve">Weight units and provenance fields are internally inconsistent.</w:t>
      </w:r>
    </w:p>
    <w:p>
      <w:pPr>
        <w:pStyle w:val="Compact"/>
        <w:numPr>
          <w:ilvl w:val="0"/>
          <w:numId w:val="1003"/>
        </w:numPr>
      </w:pPr>
      <w:r>
        <w:t xml:space="preserve">Aggregation can merge semantically different relationships.</w:t>
      </w:r>
    </w:p>
    <w:p>
      <w:pPr>
        <w:pStyle w:val="Compact"/>
        <w:numPr>
          <w:ilvl w:val="0"/>
          <w:numId w:val="1003"/>
        </w:numPr>
      </w:pPr>
      <w:r>
        <w:t xml:space="preserve">Several</w:t>
      </w:r>
      <w:r>
        <w:t xml:space="preserve"> </w:t>
      </w:r>
      <w:r>
        <w:t xml:space="preserve">“tests”</w:t>
      </w:r>
      <w:r>
        <w:t xml:space="preserve"> </w:t>
      </w:r>
      <w:r>
        <w:t xml:space="preserve">merely print hard-coded success values.</w:t>
      </w:r>
    </w:p>
    <w:p>
      <w:pPr>
        <w:pStyle w:val="Compact"/>
        <w:numPr>
          <w:ilvl w:val="0"/>
          <w:numId w:val="1003"/>
        </w:numPr>
      </w:pPr>
      <w:r>
        <w:t xml:space="preserve">The 24-question exam bank has extreme answer-position bias.</w:t>
      </w:r>
    </w:p>
    <w:p>
      <w:pPr>
        <w:pStyle w:val="Compact"/>
        <w:numPr>
          <w:ilvl w:val="0"/>
          <w:numId w:val="1003"/>
        </w:numPr>
      </w:pPr>
      <w:r>
        <w:t xml:space="preserve">Guided, independent and transfer exercises are conflated under We Do.</w:t>
      </w:r>
    </w:p>
    <w:p>
      <w:pPr>
        <w:pStyle w:val="Compact"/>
        <w:numPr>
          <w:ilvl w:val="0"/>
          <w:numId w:val="1003"/>
        </w:numPr>
      </w:pPr>
      <w:r>
        <w:t xml:space="preserve">No actual graph or evidence-path visual is supplied.</w:t>
      </w:r>
    </w:p>
    <w:p>
      <w:pPr>
        <w:pStyle w:val="Compact"/>
        <w:numPr>
          <w:ilvl w:val="0"/>
          <w:numId w:val="1003"/>
        </w:numPr>
      </w:pPr>
      <w:r>
        <w:t xml:space="preserve">Four roadmap-required topic evaluations are not mounted in the section object.</w:t>
      </w:r>
    </w:p>
    <w:p>
      <w:pPr>
        <w:pStyle w:val="Compact"/>
        <w:numPr>
          <w:ilvl w:val="0"/>
          <w:numId w:val="1003"/>
        </w:numPr>
      </w:pPr>
      <w:r>
        <w:t xml:space="preserve">The completion harness validates raw counts more strongly than pedagogical or technical correctness.</w:t>
      </w:r>
    </w:p>
    <w:bookmarkEnd w:id="22"/>
    <w:bookmarkEnd w:id="23"/>
    <w:bookmarkStart w:id="48" w:name="detailed-issue-registry"/>
    <w:p>
      <w:pPr>
        <w:pStyle w:val="Heading1"/>
      </w:pPr>
      <w:r>
        <w:t xml:space="preserve">3. Detailed Issue Registry</w:t>
      </w:r>
    </w:p>
    <w:bookmarkStart w:id="24" w:name="X2c97b4c4f81668dcd238456d666d1cd4773d2d8"/>
    <w:p>
      <w:pPr>
        <w:pStyle w:val="Heading2"/>
      </w:pPr>
      <w:r>
        <w:t xml:space="preserve">31-01 — Critical: Incorrect degree-centrality definition</w:t>
      </w:r>
    </w:p>
    <w:p>
      <w:pPr>
        <w:pStyle w:val="FirstParagraph"/>
      </w:pPr>
      <w:r>
        <w:t xml:space="preserve">The section calculates:</w:t>
      </w:r>
    </w:p>
    <w:p>
      <w:pPr>
        <w:pStyle w:val="SourceCode"/>
      </w:pPr>
      <w:r>
        <w:rPr>
          <w:rStyle w:val="NormalTok"/>
        </w:rPr>
        <w:t xml:space="preserve">degree </w:t>
      </w:r>
      <w:r>
        <w:rPr>
          <w:rStyle w:val="OperatorTok"/>
        </w:rPr>
        <w:t xml:space="preserve">/</w:t>
      </w:r>
      <w:r>
        <w:rPr>
          <w:rStyle w:val="NormalTok"/>
        </w:rPr>
        <w:t xml:space="preserve"> max_observed_degree</w:t>
      </w:r>
    </w:p>
    <w:p>
      <w:pPr>
        <w:pStyle w:val="FirstParagraph"/>
      </w:pPr>
      <w:r>
        <w:t xml:space="preserve">and calls the result degree centrality.</w:t>
      </w:r>
    </w:p>
    <w:p>
      <w:pPr>
        <w:pStyle w:val="BodyText"/>
      </w:pPr>
      <w:r>
        <w:t xml:space="preserve">NetworkX defines degree centrality for a simple graph as degree divided by the maximum possible degree,</w:t>
      </w:r>
      <w:r>
        <w:t xml:space="preserve"> </w:t>
      </w:r>
      <w:r>
        <w:rPr>
          <w:rStyle w:val="VerbatimChar"/>
        </w:rPr>
        <w:t xml:space="preserve">n - 1</w:t>
      </w:r>
      <w:r>
        <w:t xml:space="preserve">. Multigraphs and self-loops require an additional caveat because the result may exceed one.</w:t>
      </w:r>
    </w:p>
    <w:p>
      <w:pPr>
        <w:pStyle w:val="BodyText"/>
      </w:pPr>
      <w:r>
        <w:rPr>
          <w:b/>
          <w:bCs/>
        </w:rPr>
        <w:t xml:space="preserve">Impact:</w:t>
      </w:r>
      <w:r>
        <w:t xml:space="preserve"> </w:t>
      </w:r>
      <w:r>
        <w:t xml:space="preserve">Students learn a non-standard metric that will disagree with NetworkX and external references.</w:t>
      </w:r>
    </w:p>
    <w:p>
      <w:r>
        <w:pict>
          <v:rect style="width:0;height:1.5pt" o:hralign="center" o:hrstd="t" o:hr="t"/>
        </w:pict>
      </w:r>
    </w:p>
    <w:bookmarkEnd w:id="24"/>
    <w:bookmarkStart w:id="25" w:name="Xb866e01e54009f9c34f097df3678e9f92abe80d"/>
    <w:p>
      <w:pPr>
        <w:pStyle w:val="Heading2"/>
      </w:pPr>
      <w:r>
        <w:t xml:space="preserve">31-02 — Critical: Idempotence exercise destroys direction</w:t>
      </w:r>
    </w:p>
    <w:p>
      <w:pPr>
        <w:pStyle w:val="FirstParagraph"/>
      </w:pPr>
      <w:r>
        <w:t xml:space="preserve">The supplied builder canonicalises every edge using:</w:t>
      </w:r>
    </w:p>
    <w:p>
      <w:pPr>
        <w:pStyle w:val="SourceCode"/>
      </w:pPr>
      <w:r>
        <w:rPr>
          <w:rStyle w:val="BuiltInTok"/>
        </w:rPr>
        <w:t xml:space="preserve">tuple</w:t>
      </w:r>
      <w:r>
        <w:rPr>
          <w:rStyle w:val="NormalTok"/>
        </w:rPr>
        <w:t xml:space="preserve">(</w:t>
      </w:r>
      <w:r>
        <w:rPr>
          <w:rStyle w:val="BuiltInTok"/>
        </w:rPr>
        <w:t xml:space="preserve">sorted</w:t>
      </w:r>
      <w:r>
        <w:rPr>
          <w:rStyle w:val="NormalTok"/>
        </w:rPr>
        <w:t xml:space="preserve">(edge))</w:t>
      </w:r>
    </w:p>
    <w:p>
      <w:pPr>
        <w:pStyle w:val="FirstParagraph"/>
      </w:pPr>
      <w:r>
        <w:t xml:space="preserve">This makes</w:t>
      </w:r>
      <w:r>
        <w:t xml:space="preserve"> </w:t>
      </w:r>
      <w:r>
        <w:rPr>
          <w:rStyle w:val="VerbatimChar"/>
        </w:rPr>
        <w:t xml:space="preserve">A → B</w:t>
      </w:r>
      <w:r>
        <w:t xml:space="preserve"> </w:t>
      </w:r>
      <w:r>
        <w:t xml:space="preserve">identical to</w:t>
      </w:r>
      <w:r>
        <w:t xml:space="preserve"> </w:t>
      </w:r>
      <w:r>
        <w:rPr>
          <w:rStyle w:val="VerbatimChar"/>
        </w:rPr>
        <w:t xml:space="preserve">B → A</w:t>
      </w:r>
      <w:r>
        <w:t xml:space="preserve">.</w:t>
      </w:r>
    </w:p>
    <w:p>
      <w:pPr>
        <w:pStyle w:val="BodyText"/>
      </w:pPr>
      <w:r>
        <w:rPr>
          <w:b/>
          <w:bCs/>
        </w:rPr>
        <w:t xml:space="preserve">Impact:</w:t>
      </w:r>
      <w:r>
        <w:t xml:space="preserve"> </w:t>
      </w:r>
      <w:r>
        <w:t xml:space="preserve">Transfers, ownership and other directed evidence can be silently reversed or collapsed, corrupting paths and in/out-degree calculations.</w:t>
      </w:r>
    </w:p>
    <w:p>
      <w:r>
        <w:pict>
          <v:rect style="width:0;height:1.5pt" o:hralign="center" o:hrstd="t" o:hr="t"/>
        </w:pict>
      </w:r>
    </w:p>
    <w:bookmarkEnd w:id="25"/>
    <w:bookmarkStart w:id="26" w:name="Xad55b8b715f95b2db818ebfe5b5e94319fcfb8c"/>
    <w:p>
      <w:pPr>
        <w:pStyle w:val="Heading2"/>
      </w:pPr>
      <w:r>
        <w:t xml:space="preserve">31-03 — High: Example violates its own weight-unit rule</w:t>
      </w:r>
    </w:p>
    <w:p>
      <w:pPr>
        <w:pStyle w:val="FirstParagraph"/>
      </w:pPr>
      <w:r>
        <w:t xml:space="preserve">The prose warns not to mix monetary values, counts and scores in one field. The adjacent example nevertheless stores ownership weight</w:t>
      </w:r>
      <w:r>
        <w:t xml:space="preserve"> </w:t>
      </w:r>
      <w:r>
        <w:rPr>
          <w:rStyle w:val="VerbatimChar"/>
        </w:rPr>
        <w:t xml:space="preserve">1.0</w:t>
      </w:r>
      <w:r>
        <w:t xml:space="preserve">, shared-phone score</w:t>
      </w:r>
      <w:r>
        <w:t xml:space="preserve"> </w:t>
      </w:r>
      <w:r>
        <w:rPr>
          <w:rStyle w:val="VerbatimChar"/>
        </w:rPr>
        <w:t xml:space="preserve">0.8</w:t>
      </w:r>
      <w:r>
        <w:t xml:space="preserve"> </w:t>
      </w:r>
      <w:r>
        <w:t xml:space="preserve">and transfer amount</w:t>
      </w:r>
      <w:r>
        <w:t xml:space="preserve"> </w:t>
      </w:r>
      <w:r>
        <w:rPr>
          <w:rStyle w:val="VerbatimChar"/>
        </w:rPr>
        <w:t xml:space="preserve">250.0</w:t>
      </w:r>
      <w:r>
        <w:t xml:space="preserve"> </w:t>
      </w:r>
      <w:r>
        <w:t xml:space="preserve">under the same untyped</w:t>
      </w:r>
      <w:r>
        <w:t xml:space="preserve"> </w:t>
      </w:r>
      <w:r>
        <w:rPr>
          <w:rStyle w:val="VerbatimChar"/>
        </w:rPr>
        <w:t xml:space="preserve">weight</w:t>
      </w:r>
      <w:r>
        <w:t xml:space="preserve"> </w:t>
      </w:r>
      <w:r>
        <w:t xml:space="preserve">key.</w:t>
      </w:r>
    </w:p>
    <w:p>
      <w:pPr>
        <w:pStyle w:val="BodyText"/>
      </w:pPr>
      <w:r>
        <w:rPr>
          <w:b/>
          <w:bCs/>
        </w:rPr>
        <w:t xml:space="preserve">Impact:</w:t>
      </w:r>
      <w:r>
        <w:t xml:space="preserve"> </w:t>
      </w:r>
      <w:r>
        <w:t xml:space="preserve">Learners are likely to imitate the code rather than the warning, producing aggregates with no meaningful unit.</w:t>
      </w:r>
    </w:p>
    <w:p>
      <w:r>
        <w:pict>
          <v:rect style="width:0;height:1.5pt" o:hralign="center" o:hrstd="t" o:hr="t"/>
        </w:pict>
      </w:r>
    </w:p>
    <w:bookmarkEnd w:id="26"/>
    <w:bookmarkStart w:id="27" w:name="X4ad8bc6bd7b261197c7dfcbc540b3e99dbd7043"/>
    <w:p>
      <w:pPr>
        <w:pStyle w:val="Heading2"/>
      </w:pPr>
      <w:r>
        <w:t xml:space="preserve">31-04 — High: Provenance schema changes repeatedly</w:t>
      </w:r>
    </w:p>
    <w:p>
      <w:pPr>
        <w:pStyle w:val="FirstParagraph"/>
      </w:pPr>
      <w:r>
        <w:t xml:space="preserve">The lesson alternates among:</w:t>
      </w:r>
    </w:p>
    <w:p>
      <w:pPr>
        <w:pStyle w:val="Compact"/>
        <w:numPr>
          <w:ilvl w:val="0"/>
          <w:numId w:val="1004"/>
        </w:numPr>
      </w:pPr>
      <w:r>
        <w:rPr>
          <w:rStyle w:val="VerbatimChar"/>
        </w:rPr>
        <w:t xml:space="preserve">source_system</w:t>
      </w:r>
      <w:r>
        <w:t xml:space="preserve">,</w:t>
      </w:r>
      <w:r>
        <w:t xml:space="preserve"> </w:t>
      </w:r>
      <w:r>
        <w:rPr>
          <w:rStyle w:val="VerbatimChar"/>
        </w:rPr>
        <w:t xml:space="preserve">run_id</w:t>
      </w:r>
      <w:r>
        <w:t xml:space="preserve">,</w:t>
      </w:r>
      <w:r>
        <w:t xml:space="preserve"> </w:t>
      </w:r>
      <w:r>
        <w:rPr>
          <w:rStyle w:val="VerbatimChar"/>
        </w:rPr>
        <w:t xml:space="preserve">record_id</w:t>
      </w:r>
      <w:r>
        <w:t xml:space="preserve">;</w:t>
      </w:r>
    </w:p>
    <w:p>
      <w:pPr>
        <w:pStyle w:val="Compact"/>
        <w:numPr>
          <w:ilvl w:val="0"/>
          <w:numId w:val="1004"/>
        </w:numPr>
      </w:pPr>
      <w:r>
        <w:rPr>
          <w:rStyle w:val="VerbatimChar"/>
        </w:rPr>
        <w:t xml:space="preserve">source</w:t>
      </w:r>
      <w:r>
        <w:t xml:space="preserve">,</w:t>
      </w:r>
      <w:r>
        <w:t xml:space="preserve"> </w:t>
      </w:r>
      <w:r>
        <w:rPr>
          <w:rStyle w:val="VerbatimChar"/>
        </w:rPr>
        <w:t xml:space="preserve">record_id</w:t>
      </w:r>
      <w:r>
        <w:t xml:space="preserve">;</w:t>
      </w:r>
    </w:p>
    <w:p>
      <w:pPr>
        <w:pStyle w:val="Compact"/>
        <w:numPr>
          <w:ilvl w:val="0"/>
          <w:numId w:val="1004"/>
        </w:numPr>
      </w:pPr>
      <w:r>
        <w:rPr>
          <w:rStyle w:val="VerbatimChar"/>
        </w:rPr>
        <w:t xml:space="preserve">src</w:t>
      </w:r>
      <w:r>
        <w:t xml:space="preserve">,</w:t>
      </w:r>
      <w:r>
        <w:t xml:space="preserve"> </w:t>
      </w:r>
      <w:r>
        <w:rPr>
          <w:rStyle w:val="VerbatimChar"/>
        </w:rPr>
        <w:t xml:space="preserve">rid</w:t>
      </w:r>
      <w:r>
        <w:t xml:space="preserve">.</w:t>
      </w:r>
    </w:p>
    <w:p>
      <w:pPr>
        <w:pStyle w:val="FirstParagraph"/>
      </w:pPr>
      <w:r>
        <w:t xml:space="preserve">W3C PROV treats provenance as structured information supporting assessments of quality, reliability and trustworthiness. A stable contract is therefore essential.</w:t>
      </w:r>
    </w:p>
    <w:p>
      <w:pPr>
        <w:pStyle w:val="BodyText"/>
      </w:pPr>
      <w:r>
        <w:rPr>
          <w:b/>
          <w:bCs/>
        </w:rPr>
        <w:t xml:space="preserve">Impact:</w:t>
      </w:r>
      <w:r>
        <w:t xml:space="preserve"> </w:t>
      </w:r>
      <w:r>
        <w:t xml:space="preserve">Learners cannot identify the canonical edge schema or reuse one validator throughout the project.</w:t>
      </w:r>
    </w:p>
    <w:p>
      <w:r>
        <w:pict>
          <v:rect style="width:0;height:1.5pt" o:hralign="center" o:hrstd="t" o:hr="t"/>
        </w:pict>
      </w:r>
    </w:p>
    <w:bookmarkEnd w:id="27"/>
    <w:bookmarkStart w:id="28" w:name="X35883771e31a4b798887dc3e72213be3e83676d"/>
    <w:p>
      <w:pPr>
        <w:pStyle w:val="Heading2"/>
      </w:pPr>
      <w:r>
        <w:t xml:space="preserve">31-05 — High: Aggregation key omits important semantics</w:t>
      </w:r>
    </w:p>
    <w:p>
      <w:pPr>
        <w:pStyle w:val="FirstParagraph"/>
      </w:pPr>
      <w:r>
        <w:t xml:space="preserve">Aggregation groups only by</w:t>
      </w:r>
      <w:r>
        <w:t xml:space="preserve"> </w:t>
      </w:r>
      <w:r>
        <w:rPr>
          <w:rStyle w:val="VerbatimChar"/>
        </w:rPr>
        <w:t xml:space="preserve">(src, dst)</w:t>
      </w:r>
      <w:r>
        <w:t xml:space="preserve">. It ignores relationship type, direction, weight unit and time window.</w:t>
      </w:r>
    </w:p>
    <w:p>
      <w:pPr>
        <w:pStyle w:val="BodyText"/>
      </w:pPr>
      <w:r>
        <w:rPr>
          <w:b/>
          <w:bCs/>
        </w:rPr>
        <w:t xml:space="preserve">Impact:</w:t>
      </w:r>
      <w:r>
        <w:t xml:space="preserve"> </w:t>
      </w:r>
      <w:r>
        <w:t xml:space="preserve">A transfer and shared-contact relationship between the same pair could be collapsed into one aggregate, defeating auditability.</w:t>
      </w:r>
    </w:p>
    <w:p>
      <w:r>
        <w:pict>
          <v:rect style="width:0;height:1.5pt" o:hralign="center" o:hrstd="t" o:hr="t"/>
        </w:pict>
      </w:r>
    </w:p>
    <w:bookmarkEnd w:id="28"/>
    <w:bookmarkStart w:id="29" w:name="Xe6539021982db823eaf5231d3c50afc839e0f9e"/>
    <w:p>
      <w:pPr>
        <w:pStyle w:val="Heading2"/>
      </w:pPr>
      <w:r>
        <w:t xml:space="preserve">31-06 — High: Pseudo-tests use hard-coded success values</w:t>
      </w:r>
    </w:p>
    <w:p>
      <w:pPr>
        <w:pStyle w:val="FirstParagraph"/>
      </w:pPr>
      <w:r>
        <w:t xml:space="preserve">Examples print values such as:</w:t>
      </w:r>
    </w:p>
    <w:p>
      <w:pPr>
        <w:pStyle w:val="Compact"/>
        <w:numPr>
          <w:ilvl w:val="0"/>
          <w:numId w:val="1005"/>
        </w:numPr>
      </w:pPr>
      <w:r>
        <w:rPr>
          <w:rStyle w:val="VerbatimChar"/>
        </w:rPr>
        <w:t xml:space="preserve">shared_phone True</w:t>
      </w:r>
      <w:r>
        <w:t xml:space="preserve">;</w:t>
      </w:r>
    </w:p>
    <w:p>
      <w:pPr>
        <w:pStyle w:val="Compact"/>
        <w:numPr>
          <w:ilvl w:val="0"/>
          <w:numId w:val="1005"/>
        </w:numPr>
      </w:pPr>
      <w:r>
        <w:rPr>
          <w:rStyle w:val="VerbatimChar"/>
        </w:rPr>
        <w:t xml:space="preserve">test_ok True</w:t>
      </w:r>
      <w:r>
        <w:t xml:space="preserve">;</w:t>
      </w:r>
    </w:p>
    <w:p>
      <w:pPr>
        <w:pStyle w:val="Compact"/>
        <w:numPr>
          <w:ilvl w:val="0"/>
          <w:numId w:val="1005"/>
        </w:numPr>
      </w:pPr>
      <w:r>
        <w:rPr>
          <w:rStyle w:val="VerbatimChar"/>
        </w:rPr>
        <w:t xml:space="preserve">not_guilt True</w:t>
      </w:r>
      <w:r>
        <w:t xml:space="preserve">;</w:t>
      </w:r>
    </w:p>
    <w:p>
      <w:pPr>
        <w:pStyle w:val="Compact"/>
        <w:numPr>
          <w:ilvl w:val="0"/>
          <w:numId w:val="1005"/>
        </w:numPr>
      </w:pPr>
      <w:r>
        <w:rPr>
          <w:rStyle w:val="VerbatimChar"/>
        </w:rPr>
        <w:t xml:space="preserve">repro True</w:t>
      </w:r>
      <w:r>
        <w:t xml:space="preserve">.</w:t>
      </w:r>
    </w:p>
    <w:p>
      <w:pPr>
        <w:pStyle w:val="FirstParagraph"/>
      </w:pPr>
      <w:r>
        <w:t xml:space="preserve">These values are sometimes constants rather than results computed from the implementation.</w:t>
      </w:r>
    </w:p>
    <w:p>
      <w:pPr>
        <w:pStyle w:val="BodyText"/>
      </w:pPr>
      <w:r>
        <w:rPr>
          <w:b/>
          <w:bCs/>
        </w:rPr>
        <w:t xml:space="preserve">Impact:</w:t>
      </w:r>
      <w:r>
        <w:t xml:space="preserve"> </w:t>
      </w:r>
      <w:r>
        <w:t xml:space="preserve">Incorrect code can appear to pass. This models performative testing instead of executable verification.</w:t>
      </w:r>
    </w:p>
    <w:p>
      <w:r>
        <w:pict>
          <v:rect style="width:0;height:1.5pt" o:hralign="center" o:hrstd="t" o:hr="t"/>
        </w:pict>
      </w:r>
    </w:p>
    <w:bookmarkEnd w:id="29"/>
    <w:bookmarkStart w:id="30" w:name="Xe3c6fcdcabaee44ff094aedfb3fb8bc1d6077ed"/>
    <w:p>
      <w:pPr>
        <w:pStyle w:val="Heading2"/>
      </w:pPr>
      <w:r>
        <w:t xml:space="preserve">31-07 — High: Promised typed failures are not implemented</w:t>
      </w:r>
    </w:p>
    <w:p>
      <w:pPr>
        <w:pStyle w:val="FirstParagraph"/>
      </w:pPr>
      <w:r>
        <w:t xml:space="preserve">The introduction promises a typed error when provenance or schema fields are missing. Elsewhere, missing evidence silently returns</w:t>
      </w:r>
      <w:r>
        <w:t xml:space="preserve"> </w:t>
      </w:r>
      <w:r>
        <w:rPr>
          <w:rStyle w:val="VerbatimChar"/>
        </w:rPr>
        <w:t xml:space="preserve">{}</w:t>
      </w:r>
      <w:r>
        <w:t xml:space="preserve">.</w:t>
      </w:r>
    </w:p>
    <w:p>
      <w:pPr>
        <w:pStyle w:val="BodyText"/>
      </w:pPr>
      <w:r>
        <w:rPr>
          <w:b/>
          <w:bCs/>
        </w:rPr>
        <w:t xml:space="preserve">Impact:</w:t>
      </w:r>
      <w:r>
        <w:t xml:space="preserve"> </w:t>
      </w:r>
      <w:r>
        <w:t xml:space="preserve">A reviewer path can appear without evidence for one of its hops, violating the section’s fail-fast governance promise.</w:t>
      </w:r>
    </w:p>
    <w:p>
      <w:r>
        <w:pict>
          <v:rect style="width:0;height:1.5pt" o:hralign="center" o:hrstd="t" o:hr="t"/>
        </w:pict>
      </w:r>
    </w:p>
    <w:bookmarkEnd w:id="30"/>
    <w:bookmarkStart w:id="31" w:name="Xaebdb3c4f30c39f41137fce69792d9bc99528ff"/>
    <w:p>
      <w:pPr>
        <w:pStyle w:val="Heading2"/>
      </w:pPr>
      <w:r>
        <w:t xml:space="preserve">31-08 — High: I Do shows code but insufficient expert reasoning</w:t>
      </w:r>
    </w:p>
    <w:p>
      <w:pPr>
        <w:pStyle w:val="FirstParagraph"/>
      </w:pPr>
      <w:r>
        <w:t xml:space="preserve">The eight demonstrations satisfy the structural count, but most contain:</w:t>
      </w:r>
    </w:p>
    <w:p>
      <w:pPr>
        <w:pStyle w:val="Compact"/>
        <w:numPr>
          <w:ilvl w:val="0"/>
          <w:numId w:val="1006"/>
        </w:numPr>
      </w:pPr>
      <w:r>
        <w:t xml:space="preserve">a short instruction;</w:t>
      </w:r>
    </w:p>
    <w:p>
      <w:pPr>
        <w:pStyle w:val="Compact"/>
        <w:numPr>
          <w:ilvl w:val="0"/>
          <w:numId w:val="1006"/>
        </w:numPr>
      </w:pPr>
      <w:r>
        <w:t xml:space="preserve">completed code;</w:t>
      </w:r>
    </w:p>
    <w:p>
      <w:pPr>
        <w:pStyle w:val="Compact"/>
        <w:numPr>
          <w:ilvl w:val="0"/>
          <w:numId w:val="1006"/>
        </w:numPr>
      </w:pPr>
      <w:r>
        <w:t xml:space="preserve">expected output;</w:t>
      </w:r>
    </w:p>
    <w:p>
      <w:pPr>
        <w:pStyle w:val="Compact"/>
        <w:numPr>
          <w:ilvl w:val="0"/>
          <w:numId w:val="1006"/>
        </w:numPr>
      </w:pPr>
      <w:r>
        <w:t xml:space="preserve">a one-sentence explanation.</w:t>
      </w:r>
    </w:p>
    <w:p>
      <w:pPr>
        <w:pStyle w:val="FirstParagraph"/>
      </w:pPr>
      <w:r>
        <w:t xml:space="preserve">They rarely expose rejected alternatives, prediction checkpoints, debugging decisions or schema trade-offs.</w:t>
      </w:r>
    </w:p>
    <w:p>
      <w:pPr>
        <w:pStyle w:val="BodyText"/>
      </w:pPr>
      <w:r>
        <w:t xml:space="preserve">The live site promises a step-by-step process explaining why each line exists.</w:t>
      </w:r>
    </w:p>
    <w:p>
      <w:pPr>
        <w:pStyle w:val="BodyText"/>
      </w:pPr>
      <w:r>
        <w:t xml:space="preserve">Worked-example research supports exposing solution processes and prompting self-explanation rather than presenting only final code.</w:t>
      </w:r>
    </w:p>
    <w:p>
      <w:pPr>
        <w:pStyle w:val="BodyText"/>
      </w:pPr>
      <w:r>
        <w:rPr>
          <w:b/>
          <w:bCs/>
        </w:rPr>
        <w:t xml:space="preserve">Impact:</w:t>
      </w:r>
      <w:r>
        <w:t xml:space="preserve"> </w:t>
      </w:r>
      <w:r>
        <w:t xml:space="preserve">Students can copy syntax without acquiring expert modelling judgment.</w:t>
      </w:r>
    </w:p>
    <w:p>
      <w:r>
        <w:pict>
          <v:rect style="width:0;height:1.5pt" o:hralign="center" o:hrstd="t" o:hr="t"/>
        </w:pict>
      </w:r>
    </w:p>
    <w:bookmarkEnd w:id="31"/>
    <w:bookmarkStart w:id="32" w:name="Xfc2a53e84816525df5e1a04f82a280a7c481856"/>
    <w:p>
      <w:pPr>
        <w:pStyle w:val="Heading2"/>
      </w:pPr>
      <w:r>
        <w:t xml:space="preserve">31-09 — High: We Do conflates three responsibility levels</w:t>
      </w:r>
    </w:p>
    <w:p>
      <w:pPr>
        <w:pStyle w:val="FirstParagraph"/>
      </w:pPr>
      <w:r>
        <w:t xml:space="preserve">The same</w:t>
      </w:r>
      <w:r>
        <w:t xml:space="preserve"> </w:t>
      </w:r>
      <w:r>
        <w:rPr>
          <w:rStyle w:val="VerbatimChar"/>
        </w:rPr>
        <w:t xml:space="preserve">weDo.steps</w:t>
      </w:r>
      <w:r>
        <w:t xml:space="preserve"> </w:t>
      </w:r>
      <w:r>
        <w:t xml:space="preserve">collection contains:</w:t>
      </w:r>
    </w:p>
    <w:p>
      <w:pPr>
        <w:pStyle w:val="Compact"/>
        <w:numPr>
          <w:ilvl w:val="0"/>
          <w:numId w:val="1007"/>
        </w:numPr>
      </w:pPr>
      <w:r>
        <w:rPr>
          <w:rStyle w:val="VerbatimChar"/>
        </w:rPr>
        <w:t xml:space="preserve">guided</w:t>
      </w:r>
      <w:r>
        <w:t xml:space="preserve">;</w:t>
      </w:r>
    </w:p>
    <w:p>
      <w:pPr>
        <w:pStyle w:val="Compact"/>
        <w:numPr>
          <w:ilvl w:val="0"/>
          <w:numId w:val="1007"/>
        </w:numPr>
      </w:pPr>
      <w:r>
        <w:rPr>
          <w:rStyle w:val="VerbatimChar"/>
        </w:rPr>
        <w:t xml:space="preserve">independent</w:t>
      </w:r>
      <w:r>
        <w:t xml:space="preserve">;</w:t>
      </w:r>
    </w:p>
    <w:p>
      <w:pPr>
        <w:pStyle w:val="Compact"/>
        <w:numPr>
          <w:ilvl w:val="0"/>
          <w:numId w:val="1007"/>
        </w:numPr>
      </w:pPr>
      <w:r>
        <w:rPr>
          <w:rStyle w:val="VerbatimChar"/>
        </w:rPr>
        <w:t xml:space="preserve">transfer</w:t>
      </w:r>
      <w:r>
        <w:t xml:space="preserve">.</w:t>
      </w:r>
    </w:p>
    <w:p>
      <w:pPr>
        <w:pStyle w:val="FirstParagraph"/>
      </w:pPr>
      <w:r>
        <w:t xml:space="preserve">The public pedagogy defines We Do specifically as shared guided practice.</w:t>
      </w:r>
    </w:p>
    <w:p>
      <w:pPr>
        <w:pStyle w:val="BodyText"/>
      </w:pPr>
      <w:r>
        <w:rPr>
          <w:b/>
          <w:bCs/>
        </w:rPr>
        <w:t xml:space="preserve">Impact:</w:t>
      </w:r>
      <w:r>
        <w:t xml:space="preserve"> </w:t>
      </w:r>
      <w:r>
        <w:t xml:space="preserve">Learners cannot tell when support is being faded or when they are expected to perform independently.</w:t>
      </w:r>
    </w:p>
    <w:p>
      <w:r>
        <w:pict>
          <v:rect style="width:0;height:1.5pt" o:hralign="center" o:hrstd="t" o:hr="t"/>
        </w:pict>
      </w:r>
    </w:p>
    <w:bookmarkEnd w:id="32"/>
    <w:bookmarkStart w:id="33" w:name="X3b29b5a74c38f29aa8d309f81b8206d8cedbd8b"/>
    <w:p>
      <w:pPr>
        <w:pStyle w:val="Heading2"/>
      </w:pPr>
      <w:r>
        <w:t xml:space="preserve">31-10 — High: Exercise checks are descriptive strings, not executable tests</w:t>
      </w:r>
    </w:p>
    <w:p>
      <w:pPr>
        <w:pStyle w:val="FirstParagraph"/>
      </w:pPr>
      <w:r>
        <w:t xml:space="preserve">The type declares</w:t>
      </w:r>
      <w:r>
        <w:t xml:space="preserve"> </w:t>
      </w:r>
      <w:r>
        <w:rPr>
          <w:rStyle w:val="VerbatimChar"/>
        </w:rPr>
        <w:t xml:space="preserve">tests?: string</w:t>
      </w:r>
      <w:r>
        <w:t xml:space="preserve">, and most exercises provide an expected-output sentence followed by the generic feedback:</w:t>
      </w:r>
    </w:p>
    <w:p>
      <w:pPr>
        <w:pStyle w:val="BlockText"/>
      </w:pPr>
      <w:r>
        <w:t xml:space="preserve">“Compara tu salida con la solución.”</w:t>
      </w:r>
    </w:p>
    <w:p>
      <w:pPr>
        <w:pStyle w:val="FirstParagraph"/>
      </w:pPr>
      <w:r>
        <w:rPr>
          <w:b/>
          <w:bCs/>
        </w:rPr>
        <w:t xml:space="preserve">Impact:</w:t>
      </w:r>
      <w:r>
        <w:t xml:space="preserve"> </w:t>
      </w:r>
      <w:r>
        <w:t xml:space="preserve">Misconceptions are not diagnosed. Output matching does not prove preservation of direction, provenance or semantic invariants.</w:t>
      </w:r>
    </w:p>
    <w:p>
      <w:r>
        <w:pict>
          <v:rect style="width:0;height:1.5pt" o:hralign="center" o:hrstd="t" o:hr="t"/>
        </w:pict>
      </w:r>
    </w:p>
    <w:bookmarkEnd w:id="33"/>
    <w:bookmarkStart w:id="34" w:name="X90a1110f8cd6c16d1764630af00dee445cc1397"/>
    <w:p>
      <w:pPr>
        <w:pStyle w:val="Heading2"/>
      </w:pPr>
      <w:r>
        <w:t xml:space="preserve">31-11 — High: Exam answer-position bias undermines anti-plagiarism</w:t>
      </w:r>
    </w:p>
    <w:p>
      <w:pPr>
        <w:pStyle w:val="FirstParagraph"/>
      </w:pPr>
      <w:r>
        <w:t xml:space="preserve">The complete S31 seed contains 24 questions:</w:t>
      </w:r>
    </w:p>
    <w:p>
      <w:pPr>
        <w:pStyle w:val="Compact"/>
        <w:numPr>
          <w:ilvl w:val="0"/>
          <w:numId w:val="1008"/>
        </w:numPr>
      </w:pPr>
      <w:r>
        <w:t xml:space="preserve">21 use</w:t>
      </w:r>
      <w:r>
        <w:t xml:space="preserve"> </w:t>
      </w:r>
      <w:r>
        <w:rPr>
          <w:rStyle w:val="VerbatimChar"/>
        </w:rPr>
        <w:t xml:space="preserve">correctIndex: 1</w:t>
      </w:r>
      <w:r>
        <w:t xml:space="preserve">;</w:t>
      </w:r>
    </w:p>
    <w:p>
      <w:pPr>
        <w:pStyle w:val="Compact"/>
        <w:numPr>
          <w:ilvl w:val="0"/>
          <w:numId w:val="1008"/>
        </w:numPr>
      </w:pPr>
      <w:r>
        <w:t xml:space="preserve">3 use</w:t>
      </w:r>
      <w:r>
        <w:t xml:space="preserve"> </w:t>
      </w:r>
      <w:r>
        <w:rPr>
          <w:rStyle w:val="VerbatimChar"/>
        </w:rPr>
        <w:t xml:space="preserve">correctIndex: 0</w:t>
      </w:r>
      <w:r>
        <w:t xml:space="preserve">;</w:t>
      </w:r>
    </w:p>
    <w:p>
      <w:pPr>
        <w:pStyle w:val="Compact"/>
        <w:numPr>
          <w:ilvl w:val="0"/>
          <w:numId w:val="1008"/>
        </w:numPr>
      </w:pPr>
      <w:r>
        <w:t xml:space="preserve">0 use index 2;</w:t>
      </w:r>
    </w:p>
    <w:p>
      <w:pPr>
        <w:pStyle w:val="Compact"/>
        <w:numPr>
          <w:ilvl w:val="0"/>
          <w:numId w:val="1008"/>
        </w:numPr>
      </w:pPr>
      <w:r>
        <w:t xml:space="preserve">0 use index 3.</w:t>
      </w:r>
    </w:p>
    <w:p>
      <w:pPr>
        <w:pStyle w:val="FirstParagraph"/>
      </w:pPr>
      <w:r>
        <w:t xml:space="preserve">The public course advertises anti-plagiarism examinations, and the repository claims section-varying answer positions.</w:t>
      </w:r>
    </w:p>
    <w:p>
      <w:pPr>
        <w:pStyle w:val="BodyText"/>
      </w:pPr>
      <w:r>
        <w:rPr>
          <w:b/>
          <w:bCs/>
        </w:rPr>
        <w:t xml:space="preserve">Impact:</w:t>
      </w:r>
      <w:r>
        <w:t xml:space="preserve"> </w:t>
      </w:r>
      <w:r>
        <w:t xml:space="preserve">Selecting the second option becomes an effective test-taking strategy unrelated to graph knowledge.</w:t>
      </w:r>
    </w:p>
    <w:p>
      <w:r>
        <w:pict>
          <v:rect style="width:0;height:1.5pt" o:hralign="center" o:hrstd="t" o:hr="t"/>
        </w:pict>
      </w:r>
    </w:p>
    <w:bookmarkEnd w:id="34"/>
    <w:bookmarkStart w:id="35" w:name="X3c977005d33e17f1f7344717f5af587511816c7"/>
    <w:p>
      <w:pPr>
        <w:pStyle w:val="Heading2"/>
      </w:pPr>
      <w:r>
        <w:t xml:space="preserve">31-12 — High: Exam distractors are frequently implausible</w:t>
      </w:r>
    </w:p>
    <w:p>
      <w:pPr>
        <w:pStyle w:val="FirstParagraph"/>
      </w:pPr>
      <w:r>
        <w:t xml:space="preserve">Alternatives include unrelated concepts such as Kubernetes, B-tree indexes,</w:t>
      </w:r>
      <w:r>
        <w:t xml:space="preserve"> </w:t>
      </w:r>
      <w:r>
        <w:rPr>
          <w:rStyle w:val="VerbatimChar"/>
        </w:rPr>
        <w:t xml:space="preserve">DROP DATABASE</w:t>
      </w:r>
      <w:r>
        <w:t xml:space="preserve">, XGBoost and marketing LLMs.</w:t>
      </w:r>
    </w:p>
    <w:p>
      <w:pPr>
        <w:pStyle w:val="BodyText"/>
      </w:pPr>
      <w:r>
        <w:rPr>
          <w:b/>
          <w:bCs/>
        </w:rPr>
        <w:t xml:space="preserve">Impact:</w:t>
      </w:r>
      <w:r>
        <w:t xml:space="preserve"> </w:t>
      </w:r>
      <w:r>
        <w:t xml:space="preserve">Questions test whether learners can reject absurd options rather than distinguish plausible graph-modelling errors.</w:t>
      </w:r>
    </w:p>
    <w:p>
      <w:r>
        <w:pict>
          <v:rect style="width:0;height:1.5pt" o:hralign="center" o:hrstd="t" o:hr="t"/>
        </w:pict>
      </w:r>
    </w:p>
    <w:bookmarkEnd w:id="35"/>
    <w:bookmarkStart w:id="36" w:name="X128bc8862d78ec60801d9079cdcac572b1c30b9"/>
    <w:p>
      <w:pPr>
        <w:pStyle w:val="Heading2"/>
      </w:pPr>
      <w:r>
        <w:t xml:space="preserve">31-13 — High: Topic evaluations are not mounted or enforced</w:t>
      </w:r>
    </w:p>
    <w:p>
      <w:pPr>
        <w:pStyle w:val="FirstParagraph"/>
      </w:pPr>
      <w:r>
        <w:t xml:space="preserve">The roadmap requires four topic evaluations per section.</w:t>
      </w:r>
      <w:r>
        <w:t xml:space="preserve"> </w:t>
      </w:r>
      <w:r>
        <w:rPr>
          <w:rStyle w:val="VerbatimChar"/>
        </w:rPr>
        <w:t xml:space="preserve">CourseSection</w:t>
      </w:r>
      <w:r>
        <w:t xml:space="preserve"> </w:t>
      </w:r>
      <w:r>
        <w:t xml:space="preserve">makes them optional, and Section 31 does not mount a</w:t>
      </w:r>
      <w:r>
        <w:t xml:space="preserve"> </w:t>
      </w:r>
      <w:r>
        <w:rPr>
          <w:rStyle w:val="VerbatimChar"/>
        </w:rPr>
        <w:t xml:space="preserve">topicEvaluations</w:t>
      </w:r>
      <w:r>
        <w:t xml:space="preserve"> </w:t>
      </w:r>
      <w:r>
        <w:t xml:space="preserve">property.</w:t>
      </w:r>
    </w:p>
    <w:p>
      <w:pPr>
        <w:pStyle w:val="BodyText"/>
      </w:pPr>
      <w:r>
        <w:t xml:space="preserve">The completion gate counts demos and exercises but does not verify topic evaluations, assessment equivalence, accessibility or technical execution.</w:t>
      </w:r>
    </w:p>
    <w:p>
      <w:pPr>
        <w:pStyle w:val="BodyText"/>
      </w:pPr>
      <w:r>
        <w:t xml:space="preserve">Nevertheless, the ledger marks S31 as fully passed.</w:t>
      </w:r>
    </w:p>
    <w:p>
      <w:pPr>
        <w:pStyle w:val="BodyText"/>
      </w:pPr>
      <w:r>
        <w:rPr>
          <w:b/>
          <w:bCs/>
        </w:rPr>
        <w:t xml:space="preserve">Impact:</w:t>
      </w:r>
      <w:r>
        <w:t xml:space="preserve"> </w:t>
      </w:r>
      <w:r>
        <w:t xml:space="preserve">Structural counts can pass while authentic assessment requirements remain absent.</w:t>
      </w:r>
    </w:p>
    <w:p>
      <w:r>
        <w:pict>
          <v:rect style="width:0;height:1.5pt" o:hralign="center" o:hrstd="t" o:hr="t"/>
        </w:pict>
      </w:r>
    </w:p>
    <w:bookmarkEnd w:id="36"/>
    <w:bookmarkStart w:id="37" w:name="X62a076ef45c75fd1ca04fa226decc84f5d58e1c"/>
    <w:p>
      <w:pPr>
        <w:pStyle w:val="Heading2"/>
      </w:pPr>
      <w:r>
        <w:t xml:space="preserve">31-14 — High: No meaningful graph visualisation is actually taught</w:t>
      </w:r>
    </w:p>
    <w:p>
      <w:pPr>
        <w:pStyle w:val="FirstParagraph"/>
      </w:pPr>
      <w:r>
        <w:t xml:space="preserve">The visualisation lesson prints dictionaries, paths, redacted strings and record ids but does not show:</w:t>
      </w:r>
    </w:p>
    <w:p>
      <w:pPr>
        <w:pStyle w:val="Compact"/>
        <w:numPr>
          <w:ilvl w:val="0"/>
          <w:numId w:val="1009"/>
        </w:numPr>
      </w:pPr>
      <w:r>
        <w:t xml:space="preserve">a typed node-link schema;</w:t>
      </w:r>
    </w:p>
    <w:p>
      <w:pPr>
        <w:pStyle w:val="Compact"/>
        <w:numPr>
          <w:ilvl w:val="0"/>
          <w:numId w:val="1009"/>
        </w:numPr>
      </w:pPr>
      <w:r>
        <w:t xml:space="preserve">a temporal multiedge;</w:t>
      </w:r>
    </w:p>
    <w:p>
      <w:pPr>
        <w:pStyle w:val="Compact"/>
        <w:numPr>
          <w:ilvl w:val="0"/>
          <w:numId w:val="1009"/>
        </w:numPr>
      </w:pPr>
      <w:r>
        <w:t xml:space="preserve">a path evidence panel;</w:t>
      </w:r>
    </w:p>
    <w:p>
      <w:pPr>
        <w:pStyle w:val="Compact"/>
        <w:numPr>
          <w:ilvl w:val="0"/>
          <w:numId w:val="1009"/>
        </w:numPr>
      </w:pPr>
      <w:r>
        <w:t xml:space="preserve">a graph that learners can inspect.</w:t>
      </w:r>
    </w:p>
    <w:p>
      <w:pPr>
        <w:pStyle w:val="FirstParagraph"/>
      </w:pPr>
      <w:r>
        <w:t xml:space="preserve">Authoritative learning guidance recommends combining graphics with verbal descriptions, while WCAG requires equivalent text alternatives for diagrams.</w:t>
      </w:r>
    </w:p>
    <w:p>
      <w:pPr>
        <w:pStyle w:val="BodyText"/>
      </w:pPr>
      <w:r>
        <w:rPr>
          <w:b/>
          <w:bCs/>
        </w:rPr>
        <w:t xml:space="preserve">Impact:</w:t>
      </w:r>
      <w:r>
        <w:t xml:space="preserve"> </w:t>
      </w:r>
      <w:r>
        <w:t xml:space="preserve">Students must reconstruct graph topology mentally from tuples, increasing extraneous cognitive load.</w:t>
      </w:r>
    </w:p>
    <w:p>
      <w:r>
        <w:pict>
          <v:rect style="width:0;height:1.5pt" o:hralign="center" o:hrstd="t" o:hr="t"/>
        </w:pict>
      </w:r>
    </w:p>
    <w:bookmarkEnd w:id="37"/>
    <w:bookmarkStart w:id="38" w:name="X76afcfe63ca4c2911e1dc6a0be0d85039996944"/>
    <w:p>
      <w:pPr>
        <w:pStyle w:val="Heading2"/>
      </w:pPr>
      <w:r>
        <w:t xml:space="preserve">31-15 — Medium–High: Excessive breadth for one section</w:t>
      </w:r>
    </w:p>
    <w:p>
      <w:pPr>
        <w:pStyle w:val="FirstParagraph"/>
      </w:pPr>
      <w:r>
        <w:t xml:space="preserve">The eight outcomes span:</w:t>
      </w:r>
    </w:p>
    <w:p>
      <w:pPr>
        <w:pStyle w:val="Compact"/>
        <w:numPr>
          <w:ilvl w:val="0"/>
          <w:numId w:val="1010"/>
        </w:numPr>
      </w:pPr>
      <w:r>
        <w:t xml:space="preserve">graph schemas;</w:t>
      </w:r>
    </w:p>
    <w:p>
      <w:pPr>
        <w:pStyle w:val="Compact"/>
        <w:numPr>
          <w:ilvl w:val="0"/>
          <w:numId w:val="1010"/>
        </w:numPr>
      </w:pPr>
      <w:r>
        <w:t xml:space="preserve">temporal multigraphs;</w:t>
      </w:r>
    </w:p>
    <w:p>
      <w:pPr>
        <w:pStyle w:val="Compact"/>
        <w:numPr>
          <w:ilvl w:val="0"/>
          <w:numId w:val="1010"/>
        </w:numPr>
      </w:pPr>
      <w:r>
        <w:t xml:space="preserve">provenance;</w:t>
      </w:r>
    </w:p>
    <w:p>
      <w:pPr>
        <w:pStyle w:val="Compact"/>
        <w:numPr>
          <w:ilvl w:val="0"/>
          <w:numId w:val="1010"/>
        </w:numPr>
      </w:pPr>
      <w:r>
        <w:t xml:space="preserve">ETL projection;</w:t>
      </w:r>
    </w:p>
    <w:p>
      <w:pPr>
        <w:pStyle w:val="Compact"/>
        <w:numPr>
          <w:ilvl w:val="0"/>
          <w:numId w:val="1010"/>
        </w:numPr>
      </w:pPr>
      <w:r>
        <w:t xml:space="preserve">aggregation;</w:t>
      </w:r>
    </w:p>
    <w:p>
      <w:pPr>
        <w:pStyle w:val="Compact"/>
        <w:numPr>
          <w:ilvl w:val="0"/>
          <w:numId w:val="1010"/>
        </w:numPr>
      </w:pPr>
      <w:r>
        <w:t xml:space="preserve">graph algorithms;</w:t>
      </w:r>
    </w:p>
    <w:p>
      <w:pPr>
        <w:pStyle w:val="Compact"/>
        <w:numPr>
          <w:ilvl w:val="0"/>
          <w:numId w:val="1010"/>
        </w:numPr>
      </w:pPr>
      <w:r>
        <w:t xml:space="preserve">centrality;</w:t>
      </w:r>
    </w:p>
    <w:p>
      <w:pPr>
        <w:pStyle w:val="Compact"/>
        <w:numPr>
          <w:ilvl w:val="0"/>
          <w:numId w:val="1010"/>
        </w:numPr>
      </w:pPr>
      <w:r>
        <w:t xml:space="preserve">tests;</w:t>
      </w:r>
    </w:p>
    <w:p>
      <w:pPr>
        <w:pStyle w:val="Compact"/>
        <w:numPr>
          <w:ilvl w:val="0"/>
          <w:numId w:val="1010"/>
        </w:numPr>
      </w:pPr>
      <w:r>
        <w:t xml:space="preserve">privacy;</w:t>
      </w:r>
    </w:p>
    <w:p>
      <w:pPr>
        <w:pStyle w:val="Compact"/>
        <w:numPr>
          <w:ilvl w:val="0"/>
          <w:numId w:val="1010"/>
        </w:numPr>
      </w:pPr>
      <w:r>
        <w:t xml:space="preserve">visualisation;</w:t>
      </w:r>
    </w:p>
    <w:p>
      <w:pPr>
        <w:pStyle w:val="Compact"/>
        <w:numPr>
          <w:ilvl w:val="0"/>
          <w:numId w:val="1010"/>
        </w:numPr>
      </w:pPr>
      <w:r>
        <w:t xml:space="preserve">scalability.</w:t>
      </w:r>
    </w:p>
    <w:p>
      <w:pPr>
        <w:pStyle w:val="FirstParagraph"/>
      </w:pPr>
      <w:r>
        <w:t xml:space="preserve">Segmenting and pretraining are established strategies for managing essential cognitive load.</w:t>
      </w:r>
    </w:p>
    <w:p>
      <w:pPr>
        <w:pStyle w:val="BodyText"/>
      </w:pPr>
      <w:r>
        <w:rPr>
          <w:b/>
          <w:bCs/>
        </w:rPr>
        <w:t xml:space="preserve">Impact:</w:t>
      </w:r>
      <w:r>
        <w:t xml:space="preserve"> </w:t>
      </w:r>
      <w:r>
        <w:t xml:space="preserve">Learners must coordinate several distinct domains within one 18-hour block.</w:t>
      </w:r>
    </w:p>
    <w:p>
      <w:r>
        <w:pict>
          <v:rect style="width:0;height:1.5pt" o:hralign="center" o:hrstd="t" o:hr="t"/>
        </w:pict>
      </w:r>
    </w:p>
    <w:bookmarkEnd w:id="38"/>
    <w:bookmarkStart w:id="39" w:name="Xb082ad17615650ea9a32d4d77db75c0a78eb67b"/>
    <w:p>
      <w:pPr>
        <w:pStyle w:val="Heading2"/>
      </w:pPr>
      <w:r>
        <w:t xml:space="preserve">31-16 — Medium–High: Large transfer gap before You Do</w:t>
      </w:r>
    </w:p>
    <w:p>
      <w:pPr>
        <w:pStyle w:val="FirstParagraph"/>
      </w:pPr>
      <w:r>
        <w:t xml:space="preserve">Most exercises operate on very small lists or dictionaries. The project suddenly asks for:</w:t>
      </w:r>
    </w:p>
    <w:p>
      <w:pPr>
        <w:pStyle w:val="Compact"/>
        <w:numPr>
          <w:ilvl w:val="0"/>
          <w:numId w:val="1011"/>
        </w:numPr>
      </w:pPr>
      <w:r>
        <w:t xml:space="preserve">a typed temporal multigraph;</w:t>
      </w:r>
    </w:p>
    <w:p>
      <w:pPr>
        <w:pStyle w:val="Compact"/>
        <w:numPr>
          <w:ilvl w:val="0"/>
          <w:numId w:val="1011"/>
        </w:numPr>
      </w:pPr>
      <w:r>
        <w:t xml:space="preserve">detail and aggregate layers;</w:t>
      </w:r>
    </w:p>
    <w:p>
      <w:pPr>
        <w:pStyle w:val="Compact"/>
        <w:numPr>
          <w:ilvl w:val="0"/>
          <w:numId w:val="1011"/>
        </w:numPr>
      </w:pPr>
      <w:r>
        <w:t xml:space="preserve">deterministic path search;</w:t>
      </w:r>
    </w:p>
    <w:p>
      <w:pPr>
        <w:pStyle w:val="Compact"/>
        <w:numPr>
          <w:ilvl w:val="0"/>
          <w:numId w:val="1011"/>
        </w:numPr>
      </w:pPr>
      <w:r>
        <w:t xml:space="preserve">provenance validation;</w:t>
      </w:r>
    </w:p>
    <w:p>
      <w:pPr>
        <w:pStyle w:val="Compact"/>
        <w:numPr>
          <w:ilvl w:val="0"/>
          <w:numId w:val="1011"/>
        </w:numPr>
      </w:pPr>
      <w:r>
        <w:t xml:space="preserve">invariant tests;</w:t>
      </w:r>
    </w:p>
    <w:p>
      <w:pPr>
        <w:pStyle w:val="Compact"/>
        <w:numPr>
          <w:ilvl w:val="0"/>
          <w:numId w:val="1011"/>
        </w:numPr>
      </w:pPr>
      <w:r>
        <w:t xml:space="preserve">redaction;</w:t>
      </w:r>
    </w:p>
    <w:p>
      <w:pPr>
        <w:pStyle w:val="Compact"/>
        <w:numPr>
          <w:ilvl w:val="0"/>
          <w:numId w:val="1011"/>
        </w:numPr>
      </w:pPr>
      <w:r>
        <w:t xml:space="preserve">an evidence view;</w:t>
      </w:r>
    </w:p>
    <w:p>
      <w:pPr>
        <w:pStyle w:val="Compact"/>
        <w:numPr>
          <w:ilvl w:val="0"/>
          <w:numId w:val="1011"/>
        </w:numPr>
      </w:pPr>
      <w:r>
        <w:t xml:space="preserve">scale policy documentation.</w:t>
      </w:r>
    </w:p>
    <w:p>
      <w:pPr>
        <w:pStyle w:val="FirstParagraph"/>
      </w:pPr>
      <w:r>
        <w:rPr>
          <w:b/>
          <w:bCs/>
        </w:rPr>
        <w:t xml:space="preserve">Impact:</w:t>
      </w:r>
      <w:r>
        <w:t xml:space="preserve"> </w:t>
      </w:r>
      <w:r>
        <w:t xml:space="preserve">Passing isolated drills does not establish readiness to assemble the complete project.</w:t>
      </w:r>
    </w:p>
    <w:p>
      <w:r>
        <w:pict>
          <v:rect style="width:0;height:1.5pt" o:hralign="center" o:hrstd="t" o:hr="t"/>
        </w:pict>
      </w:r>
    </w:p>
    <w:bookmarkEnd w:id="39"/>
    <w:bookmarkStart w:id="40" w:name="X1dd50670182425c7afab72289db1cf3e4b25c9f"/>
    <w:p>
      <w:pPr>
        <w:pStyle w:val="Heading2"/>
      </w:pPr>
      <w:r>
        <w:t xml:space="preserve">31-17 — Medium: Two shared-contact models are introduced without a decision rule</w:t>
      </w:r>
    </w:p>
    <w:p>
      <w:pPr>
        <w:pStyle w:val="FirstParagraph"/>
      </w:pPr>
      <w:r>
        <w:t xml:space="preserve">One example creates a direct</w:t>
      </w:r>
      <w:r>
        <w:t xml:space="preserve"> </w:t>
      </w:r>
      <w:r>
        <w:rPr>
          <w:rStyle w:val="VerbatimChar"/>
        </w:rPr>
        <w:t xml:space="preserve">shared_phone</w:t>
      </w:r>
      <w:r>
        <w:t xml:space="preserve"> </w:t>
      </w:r>
      <w:r>
        <w:t xml:space="preserve">edge between people. Another models the phone as an intermediate node:</w:t>
      </w:r>
    </w:p>
    <w:p>
      <w:pPr>
        <w:pStyle w:val="SourceCode"/>
      </w:pPr>
      <w:r>
        <w:rPr>
          <w:rStyle w:val="VerbatimChar"/>
        </w:rPr>
        <w:t xml:space="preserve">E1 → phone ← E2</w:t>
      </w:r>
    </w:p>
    <w:p>
      <w:pPr>
        <w:pStyle w:val="FirstParagraph"/>
      </w:pPr>
      <w:r>
        <w:rPr>
          <w:b/>
          <w:bCs/>
        </w:rPr>
        <w:t xml:space="preserve">Impact:</w:t>
      </w:r>
      <w:r>
        <w:t xml:space="preserve"> </w:t>
      </w:r>
      <w:r>
        <w:t xml:space="preserve">Learners do not know which representation is canonical or when a derived direct edge is appropriate.</w:t>
      </w:r>
    </w:p>
    <w:p>
      <w:r>
        <w:pict>
          <v:rect style="width:0;height:1.5pt" o:hralign="center" o:hrstd="t" o:hr="t"/>
        </w:pict>
      </w:r>
    </w:p>
    <w:bookmarkEnd w:id="40"/>
    <w:bookmarkStart w:id="41" w:name="medium-no-real-networkx-implementation"/>
    <w:p>
      <w:pPr>
        <w:pStyle w:val="Heading2"/>
      </w:pPr>
      <w:r>
        <w:t xml:space="preserve">31-18 — Medium: No real NetworkX implementation</w:t>
      </w:r>
    </w:p>
    <w:p>
      <w:pPr>
        <w:pStyle w:val="FirstParagraph"/>
      </w:pPr>
      <w:r>
        <w:t xml:space="preserve">The lesson uses custom dictionaries, sets, BFS and DFS. NetworkX is linked as a resource but never meaningfully implemented.</w:t>
      </w:r>
    </w:p>
    <w:p>
      <w:pPr>
        <w:pStyle w:val="BodyText"/>
      </w:pPr>
      <w:r>
        <w:t xml:space="preserve">NetworkX directly supports directed multigraphs, parallel edges and edge attributes.</w:t>
      </w:r>
    </w:p>
    <w:p>
      <w:pPr>
        <w:pStyle w:val="BodyText"/>
      </w:pPr>
      <w:r>
        <w:rPr>
          <w:b/>
          <w:bCs/>
        </w:rPr>
        <w:t xml:space="preserve">Impact:</w:t>
      </w:r>
      <w:r>
        <w:t xml:space="preserve"> </w:t>
      </w:r>
      <w:r>
        <w:t xml:space="preserve">A</w:t>
      </w:r>
      <w:r>
        <w:t xml:space="preserve"> </w:t>
      </w:r>
      <w:r>
        <w:t xml:space="preserve">“competente a experto”</w:t>
      </w:r>
      <w:r>
        <w:t xml:space="preserve"> </w:t>
      </w:r>
      <w:r>
        <w:t xml:space="preserve">learner never practices the primary library named in the section resources.</w:t>
      </w:r>
    </w:p>
    <w:p>
      <w:r>
        <w:pict>
          <v:rect style="width:0;height:1.5pt" o:hralign="center" o:hrstd="t" o:hr="t"/>
        </w:pict>
      </w:r>
    </w:p>
    <w:bookmarkEnd w:id="41"/>
    <w:bookmarkStart w:id="42" w:name="X3c46372d5664abc45b89068b12bf835604154b9"/>
    <w:p>
      <w:pPr>
        <w:pStyle w:val="Heading2"/>
      </w:pPr>
      <w:r>
        <w:t xml:space="preserve">31-19 — Medium: Spanish terminology and agreement need editing</w:t>
      </w:r>
    </w:p>
    <w:p>
      <w:pPr>
        <w:pStyle w:val="FirstParagraph"/>
      </w:pPr>
      <w:r>
        <w:t xml:space="preserve">The section mixes English and Spanish terms without a stable terminology policy:</w:t>
      </w:r>
    </w:p>
    <w:p>
      <w:pPr>
        <w:pStyle w:val="Compact"/>
        <w:numPr>
          <w:ilvl w:val="0"/>
          <w:numId w:val="1012"/>
        </w:numPr>
      </w:pPr>
      <w:r>
        <w:rPr>
          <w:rStyle w:val="VerbatimChar"/>
        </w:rPr>
        <w:t xml:space="preserve">schema</w:t>
      </w:r>
      <w:r>
        <w:t xml:space="preserve">;</w:t>
      </w:r>
    </w:p>
    <w:p>
      <w:pPr>
        <w:pStyle w:val="Compact"/>
        <w:numPr>
          <w:ilvl w:val="0"/>
          <w:numId w:val="1012"/>
        </w:numPr>
      </w:pPr>
      <w:r>
        <w:rPr>
          <w:rStyle w:val="VerbatimChar"/>
        </w:rPr>
        <w:t xml:space="preserve">path</w:t>
      </w:r>
      <w:r>
        <w:t xml:space="preserve">;</w:t>
      </w:r>
    </w:p>
    <w:p>
      <w:pPr>
        <w:pStyle w:val="Compact"/>
        <w:numPr>
          <w:ilvl w:val="0"/>
          <w:numId w:val="1012"/>
        </w:numPr>
      </w:pPr>
      <w:r>
        <w:rPr>
          <w:rStyle w:val="VerbatimChar"/>
        </w:rPr>
        <w:t xml:space="preserve">records</w:t>
      </w:r>
      <w:r>
        <w:t xml:space="preserve">;</w:t>
      </w:r>
    </w:p>
    <w:p>
      <w:pPr>
        <w:pStyle w:val="Compact"/>
        <w:numPr>
          <w:ilvl w:val="0"/>
          <w:numId w:val="1012"/>
        </w:numPr>
      </w:pPr>
      <w:r>
        <w:rPr>
          <w:rStyle w:val="VerbatimChar"/>
        </w:rPr>
        <w:t xml:space="preserve">source</w:t>
      </w:r>
      <w:r>
        <w:t xml:space="preserve">;</w:t>
      </w:r>
    </w:p>
    <w:p>
      <w:pPr>
        <w:pStyle w:val="Compact"/>
        <w:numPr>
          <w:ilvl w:val="0"/>
          <w:numId w:val="1012"/>
        </w:numPr>
      </w:pPr>
      <w:r>
        <w:rPr>
          <w:rStyle w:val="VerbatimChar"/>
        </w:rPr>
        <w:t xml:space="preserve">score</w:t>
      </w:r>
      <w:r>
        <w:t xml:space="preserve">;</w:t>
      </w:r>
    </w:p>
    <w:p>
      <w:pPr>
        <w:pStyle w:val="Compact"/>
        <w:numPr>
          <w:ilvl w:val="0"/>
          <w:numId w:val="1012"/>
        </w:numPr>
      </w:pPr>
      <w:r>
        <w:rPr>
          <w:rStyle w:val="VerbatimChar"/>
        </w:rPr>
        <w:t xml:space="preserve">render</w:t>
      </w:r>
      <w:r>
        <w:t xml:space="preserve">;</w:t>
      </w:r>
    </w:p>
    <w:p>
      <w:pPr>
        <w:pStyle w:val="Compact"/>
        <w:numPr>
          <w:ilvl w:val="0"/>
          <w:numId w:val="1012"/>
        </w:numPr>
      </w:pPr>
      <w:r>
        <w:rPr>
          <w:rStyle w:val="VerbatimChar"/>
        </w:rPr>
        <w:t xml:space="preserve">workbench</w:t>
      </w:r>
      <w:r>
        <w:t xml:space="preserve">;</w:t>
      </w:r>
    </w:p>
    <w:p>
      <w:pPr>
        <w:pStyle w:val="Compact"/>
        <w:numPr>
          <w:ilvl w:val="0"/>
          <w:numId w:val="1012"/>
        </w:numPr>
      </w:pPr>
      <w:r>
        <w:rPr>
          <w:rStyle w:val="VerbatimChar"/>
        </w:rPr>
        <w:t xml:space="preserve">shared-contact</w:t>
      </w:r>
      <w:r>
        <w:t xml:space="preserve">;</w:t>
      </w:r>
    </w:p>
    <w:p>
      <w:pPr>
        <w:pStyle w:val="Compact"/>
        <w:numPr>
          <w:ilvl w:val="0"/>
          <w:numId w:val="1012"/>
        </w:numPr>
      </w:pPr>
      <w:r>
        <w:rPr>
          <w:rStyle w:val="VerbatimChar"/>
        </w:rPr>
        <w:t xml:space="preserve">provenance</w:t>
      </w:r>
      <w:r>
        <w:t xml:space="preserve">.</w:t>
      </w:r>
    </w:p>
    <w:p>
      <w:pPr>
        <w:pStyle w:val="FirstParagraph"/>
      </w:pPr>
      <w:r>
        <w:t xml:space="preserve">The exam bank also contains:</w:t>
      </w:r>
    </w:p>
    <w:p>
      <w:pPr>
        <w:pStyle w:val="BlockText"/>
      </w:pPr>
      <w:r>
        <w:t xml:space="preserve">“Camino = traza auditables”</w:t>
      </w:r>
    </w:p>
    <w:p>
      <w:pPr>
        <w:pStyle w:val="FirstParagraph"/>
      </w:pPr>
      <w:r>
        <w:t xml:space="preserve">and</w:t>
      </w:r>
    </w:p>
    <w:p>
      <w:pPr>
        <w:pStyle w:val="BlockText"/>
      </w:pPr>
      <w:r>
        <w:t xml:space="preserve">“Drill-down a la arista auditables.”</w:t>
      </w:r>
    </w:p>
    <w:p>
      <w:pPr>
        <w:pStyle w:val="FirstParagraph"/>
      </w:pPr>
      <w:r>
        <w:rPr>
          <w:b/>
          <w:bCs/>
        </w:rPr>
        <w:t xml:space="preserve">Impact:</w:t>
      </w:r>
      <w:r>
        <w:t xml:space="preserve"> </w:t>
      </w:r>
      <w:r>
        <w:t xml:space="preserve">Code-switching and agreement errors weaken the promised es-PE editorial standard.</w:t>
      </w:r>
    </w:p>
    <w:p>
      <w:r>
        <w:pict>
          <v:rect style="width:0;height:1.5pt" o:hralign="center" o:hrstd="t" o:hr="t"/>
        </w:pict>
      </w:r>
    </w:p>
    <w:bookmarkEnd w:id="42"/>
    <w:bookmarkStart w:id="43" w:name="X8967e50cbb098fcbb69d5e2924e0606bc5331aa"/>
    <w:p>
      <w:pPr>
        <w:pStyle w:val="Heading2"/>
      </w:pPr>
      <w:r>
        <w:t xml:space="preserve">31-20 — Medium: Rubric mixes numeric weights and undefined labels</w:t>
      </w:r>
    </w:p>
    <w:p>
      <w:pPr>
        <w:pStyle w:val="FirstParagraph"/>
      </w:pPr>
      <w:r>
        <w:t xml:space="preserve">Six criteria total 100%, followed by two additional entries whose weights are:</w:t>
      </w:r>
    </w:p>
    <w:p>
      <w:pPr>
        <w:pStyle w:val="Compact"/>
        <w:numPr>
          <w:ilvl w:val="0"/>
          <w:numId w:val="1013"/>
        </w:numPr>
      </w:pPr>
      <w:r>
        <w:rPr>
          <w:rStyle w:val="VerbatimChar"/>
        </w:rPr>
        <w:t xml:space="preserve">"bonus checklist"</w:t>
      </w:r>
      <w:r>
        <w:t xml:space="preserve">;</w:t>
      </w:r>
    </w:p>
    <w:p>
      <w:pPr>
        <w:pStyle w:val="Compact"/>
        <w:numPr>
          <w:ilvl w:val="0"/>
          <w:numId w:val="1013"/>
        </w:numPr>
      </w:pPr>
      <w:r>
        <w:rPr>
          <w:rStyle w:val="VerbatimChar"/>
        </w:rPr>
        <w:t xml:space="preserve">"criterio de privacidad"</w:t>
      </w:r>
      <w:r>
        <w:t xml:space="preserve">.</w:t>
      </w:r>
    </w:p>
    <w:p>
      <w:pPr>
        <w:pStyle w:val="FirstParagraph"/>
      </w:pPr>
      <w:r>
        <w:rPr>
          <w:b/>
          <w:bCs/>
        </w:rPr>
        <w:t xml:space="preserve">Impact:</w:t>
      </w:r>
      <w:r>
        <w:t xml:space="preserve"> </w:t>
      </w:r>
      <w:r>
        <w:t xml:space="preserve">Learners cannot determine whether these are scored, optional or mandatory. Privacy should be a non-negotiable gate, not an ambiguous bonus.</w:t>
      </w:r>
    </w:p>
    <w:p>
      <w:r>
        <w:pict>
          <v:rect style="width:0;height:1.5pt" o:hralign="center" o:hrstd="t" o:hr="t"/>
        </w:pict>
      </w:r>
    </w:p>
    <w:bookmarkEnd w:id="43"/>
    <w:bookmarkStart w:id="44" w:name="medium-resource-curation-is-uneven"/>
    <w:p>
      <w:pPr>
        <w:pStyle w:val="Heading2"/>
      </w:pPr>
      <w:r>
        <w:t xml:space="preserve">31-21 — Medium: Resource curation is uneven</w:t>
      </w:r>
    </w:p>
    <w:p>
      <w:pPr>
        <w:pStyle w:val="FirstParagraph"/>
      </w:pPr>
      <w:r>
        <w:t xml:space="preserve">Strong resources include official NetworkX, W3C PROV and Neo4j documentation. Weak entries include:</w:t>
      </w:r>
    </w:p>
    <w:p>
      <w:pPr>
        <w:pStyle w:val="Compact"/>
        <w:numPr>
          <w:ilvl w:val="0"/>
          <w:numId w:val="1014"/>
        </w:numPr>
      </w:pPr>
      <w:r>
        <w:t xml:space="preserve">Wikipedia as the graph-theory overview;</w:t>
      </w:r>
    </w:p>
    <w:p>
      <w:pPr>
        <w:pStyle w:val="Compact"/>
        <w:numPr>
          <w:ilvl w:val="0"/>
          <w:numId w:val="1014"/>
        </w:numPr>
      </w:pPr>
      <w:r>
        <w:t xml:space="preserve">a generic Coursera search;</w:t>
      </w:r>
    </w:p>
    <w:p>
      <w:pPr>
        <w:pStyle w:val="Compact"/>
        <w:numPr>
          <w:ilvl w:val="0"/>
          <w:numId w:val="1014"/>
        </w:numPr>
      </w:pPr>
      <w:r>
        <w:t xml:space="preserve">an incomplete</w:t>
      </w:r>
      <w:r>
        <w:t xml:space="preserve"> </w:t>
      </w:r>
      <w:r>
        <w:t xml:space="preserve">“Data Matching / entity graphs”</w:t>
      </w:r>
      <w:r>
        <w:t xml:space="preserve"> </w:t>
      </w:r>
      <w:r>
        <w:t xml:space="preserve">book reference.</w:t>
      </w:r>
    </w:p>
    <w:p>
      <w:pPr>
        <w:pStyle w:val="FirstParagraph"/>
      </w:pPr>
      <w:r>
        <w:rPr>
          <w:b/>
          <w:bCs/>
        </w:rPr>
        <w:t xml:space="preserve">Impact:</w:t>
      </w:r>
      <w:r>
        <w:t xml:space="preserve"> </w:t>
      </w:r>
      <w:r>
        <w:t xml:space="preserve">Learners cannot distinguish required primary references from informal discovery links.</w:t>
      </w:r>
    </w:p>
    <w:p>
      <w:r>
        <w:pict>
          <v:rect style="width:0;height:1.5pt" o:hralign="center" o:hrstd="t" o:hr="t"/>
        </w:pict>
      </w:r>
    </w:p>
    <w:bookmarkEnd w:id="44"/>
    <w:bookmarkStart w:id="45" w:name="X70882cedfcdadb39322364a00b8c1b7c203b72c"/>
    <w:p>
      <w:pPr>
        <w:pStyle w:val="Heading2"/>
      </w:pPr>
      <w:r>
        <w:t xml:space="preserve">31-22 — Medium: Obsolete</w:t>
      </w:r>
      <w:r>
        <w:t xml:space="preserve"> </w:t>
      </w:r>
      <w:r>
        <w:rPr>
          <w:rStyle w:val="VerbatimChar"/>
        </w:rPr>
        <w:t xml:space="preserve">streaming-data</w:t>
      </w:r>
      <w:r>
        <w:t xml:space="preserve"> </w:t>
      </w:r>
      <w:r>
        <w:t xml:space="preserve">identity leaks through the architecture</w:t>
      </w:r>
    </w:p>
    <w:p>
      <w:pPr>
        <w:pStyle w:val="FirstParagraph"/>
      </w:pPr>
      <w:r>
        <w:t xml:space="preserve">The actual topic is graph evidence, but the following still use</w:t>
      </w:r>
      <w:r>
        <w:t xml:space="preserve"> </w:t>
      </w:r>
      <w:r>
        <w:rPr>
          <w:rStyle w:val="VerbatimChar"/>
        </w:rPr>
        <w:t xml:space="preserve">streaming-data</w:t>
      </w:r>
      <w:r>
        <w:t xml:space="preserve">:</w:t>
      </w:r>
    </w:p>
    <w:p>
      <w:pPr>
        <w:pStyle w:val="Compact"/>
        <w:numPr>
          <w:ilvl w:val="0"/>
          <w:numId w:val="1015"/>
        </w:numPr>
      </w:pPr>
      <w:r>
        <w:t xml:space="preserve">filename;</w:t>
      </w:r>
    </w:p>
    <w:p>
      <w:pPr>
        <w:pStyle w:val="Compact"/>
        <w:numPr>
          <w:ilvl w:val="0"/>
          <w:numId w:val="1015"/>
        </w:numPr>
      </w:pPr>
      <w:r>
        <w:t xml:space="preserve">section id;</w:t>
      </w:r>
    </w:p>
    <w:p>
      <w:pPr>
        <w:pStyle w:val="Compact"/>
        <w:numPr>
          <w:ilvl w:val="0"/>
          <w:numId w:val="1015"/>
        </w:numPr>
      </w:pPr>
      <w:r>
        <w:t xml:space="preserve">import;</w:t>
      </w:r>
    </w:p>
    <w:p>
      <w:pPr>
        <w:pStyle w:val="Compact"/>
        <w:numPr>
          <w:ilvl w:val="0"/>
          <w:numId w:val="1015"/>
        </w:numPr>
      </w:pPr>
      <w:r>
        <w:t xml:space="preserve">ledger;</w:t>
      </w:r>
    </w:p>
    <w:p>
      <w:pPr>
        <w:pStyle w:val="Compact"/>
        <w:numPr>
          <w:ilvl w:val="0"/>
          <w:numId w:val="1015"/>
        </w:numPr>
      </w:pPr>
      <w:r>
        <w:t xml:space="preserve">exam-bank key;</w:t>
      </w:r>
    </w:p>
    <w:p>
      <w:pPr>
        <w:pStyle w:val="Compact"/>
        <w:numPr>
          <w:ilvl w:val="0"/>
          <w:numId w:val="1015"/>
        </w:numPr>
      </w:pPr>
      <w:r>
        <w:t xml:space="preserve">public hash route.</w:t>
      </w:r>
    </w:p>
    <w:p>
      <w:pPr>
        <w:pStyle w:val="FirstParagraph"/>
      </w:pPr>
      <w:r>
        <w:rPr>
          <w:b/>
          <w:bCs/>
        </w:rPr>
        <w:t xml:space="preserve">Impact:</w:t>
      </w:r>
      <w:r>
        <w:t xml:space="preserve"> </w:t>
      </w:r>
      <w:r>
        <w:t xml:space="preserve">Bookmarks, analytics and maintainers operate with an obsolete conceptual label.</w:t>
      </w:r>
    </w:p>
    <w:p>
      <w:r>
        <w:pict>
          <v:rect style="width:0;height:1.5pt" o:hralign="center" o:hrstd="t" o:hr="t"/>
        </w:pict>
      </w:r>
    </w:p>
    <w:bookmarkEnd w:id="45"/>
    <w:bookmarkStart w:id="46" w:name="Xd7c5c57cded5a0aa7d205e8c671cbeecca75453"/>
    <w:p>
      <w:pPr>
        <w:pStyle w:val="Heading2"/>
      </w:pPr>
      <w:r>
        <w:t xml:space="preserve">31-23 — Low–Medium: Synthetic full names remain unnecessarily ambiguous</w:t>
      </w:r>
    </w:p>
    <w:p>
      <w:pPr>
        <w:pStyle w:val="FirstParagraph"/>
      </w:pPr>
      <w:r>
        <w:t xml:space="preserve">Examples use ordinary names such as</w:t>
      </w:r>
      <w:r>
        <w:t xml:space="preserve"> </w:t>
      </w:r>
      <w:r>
        <w:t xml:space="preserve">“Ana López”</w:t>
      </w:r>
      <w:r>
        <w:t xml:space="preserve"> </w:t>
      </w:r>
      <w:r>
        <w:t xml:space="preserve">and</w:t>
      </w:r>
      <w:r>
        <w:t xml:space="preserve"> </w:t>
      </w:r>
      <w:r>
        <w:t xml:space="preserve">“Luis Ríos.”</w:t>
      </w:r>
    </w:p>
    <w:p>
      <w:pPr>
        <w:pStyle w:val="BodyText"/>
      </w:pPr>
      <w:r>
        <w:rPr>
          <w:b/>
          <w:bCs/>
        </w:rPr>
        <w:t xml:space="preserve">Impact:</w:t>
      </w:r>
      <w:r>
        <w:t xml:space="preserve"> </w:t>
      </w:r>
      <w:r>
        <w:t xml:space="preserve">Screenshots or portfolios could be mistaken for representations of real people despite the synthetic-data disclaimer.</w:t>
      </w:r>
    </w:p>
    <w:p>
      <w:r>
        <w:pict>
          <v:rect style="width:0;height:1.5pt" o:hralign="center" o:hrstd="t" o:hr="t"/>
        </w:pict>
      </w:r>
    </w:p>
    <w:bookmarkEnd w:id="46"/>
    <w:bookmarkStart w:id="47" w:name="X25e82862ecea42bd474dd8b8148fae3526a11c1"/>
    <w:p>
      <w:pPr>
        <w:pStyle w:val="Heading2"/>
      </w:pPr>
      <w:r>
        <w:t xml:space="preserve">31-24 — Low–Medium: Scale threshold is presented as a magic number</w:t>
      </w:r>
    </w:p>
    <w:p>
      <w:pPr>
        <w:pStyle w:val="FirstParagraph"/>
      </w:pPr>
      <w:r>
        <w:t xml:space="preserve">The scale exercise uses</w:t>
      </w:r>
      <w:r>
        <w:t xml:space="preserve"> </w:t>
      </w:r>
      <w:r>
        <w:rPr>
          <w:rStyle w:val="VerbatimChar"/>
        </w:rPr>
        <w:t xml:space="preserve">max_n = 500</w:t>
      </w:r>
      <w:r>
        <w:t xml:space="preserve"> </w:t>
      </w:r>
      <w:r>
        <w:t xml:space="preserve">without benchmark results, device assumptions or edge-density considerations.</w:t>
      </w:r>
    </w:p>
    <w:p>
      <w:pPr>
        <w:pStyle w:val="BodyText"/>
      </w:pPr>
      <w:r>
        <w:rPr>
          <w:b/>
          <w:bCs/>
        </w:rPr>
        <w:t xml:space="preserve">Impact:</w:t>
      </w:r>
      <w:r>
        <w:t xml:space="preserve"> </w:t>
      </w:r>
      <w:r>
        <w:t xml:space="preserve">Students may interpret 500 nodes as a universal rendering limit rather than an illustrative policy value.</w:t>
      </w:r>
    </w:p>
    <w:bookmarkEnd w:id="47"/>
    <w:bookmarkEnd w:id="48"/>
    <w:bookmarkStart w:id="52" w:name="meta-leak-report"/>
    <w:p>
      <w:pPr>
        <w:pStyle w:val="Heading1"/>
      </w:pPr>
      <w:r>
        <w:t xml:space="preserve">4. Meta-Leak Report</w:t>
      </w:r>
    </w:p>
    <w:bookmarkStart w:id="49" w:name="X76ca058d8294a53354a5e2a1c41273146447cb8"/>
    <w:p>
      <w:pPr>
        <w:pStyle w:val="Heading2"/>
      </w:pPr>
      <w:r>
        <w:t xml:space="preserve">Confirmed learner-facing developer or AI prompt leakage</w:t>
      </w:r>
    </w:p>
    <w:p>
      <w:pPr>
        <w:pStyle w:val="FirstParagraph"/>
      </w:pPr>
      <w:r>
        <w:rPr>
          <w:b/>
          <w:bCs/>
        </w:rPr>
        <w:t xml:space="preserve">None found.</w:t>
      </w:r>
    </w:p>
    <w:p>
      <w:pPr>
        <w:pStyle w:val="BodyText"/>
      </w:pPr>
      <w:r>
        <w:t xml:space="preserve">No private prompt instructions,</w:t>
      </w:r>
      <w:r>
        <w:t xml:space="preserve"> </w:t>
      </w:r>
      <w:r>
        <w:t xml:space="preserve">“moved from section X”</w:t>
      </w:r>
      <w:r>
        <w:t xml:space="preserve"> </w:t>
      </w:r>
      <w:r>
        <w:t xml:space="preserve">notes, internal review conversations, model comments or author-directed reminders were detected in the instructional prose.</w:t>
      </w:r>
    </w:p>
    <w:bookmarkEnd w:id="49"/>
    <w:bookmarkStart w:id="50" w:name="X1476ef8dbf5b1850c54b2b1e671b67bacb1f243"/>
    <w:p>
      <w:pPr>
        <w:pStyle w:val="Heading2"/>
      </w:pPr>
      <w:r>
        <w:t xml:space="preserve">Items correctly excluded from the leak category</w:t>
      </w:r>
    </w:p>
    <w:p>
      <w:pPr>
        <w:pStyle w:val="Compact"/>
        <w:numPr>
          <w:ilvl w:val="0"/>
          <w:numId w:val="1016"/>
        </w:numPr>
      </w:pPr>
      <w:r>
        <w:rPr>
          <w:rStyle w:val="VerbatimChar"/>
        </w:rPr>
        <w:t xml:space="preserve"># TODO:</w:t>
      </w:r>
      <w:r>
        <w:t xml:space="preserve"> </w:t>
      </w:r>
      <w:r>
        <w:t xml:space="preserve">in starter code is a learner completion marker.</w:t>
      </w:r>
    </w:p>
    <w:p>
      <w:pPr>
        <w:pStyle w:val="Compact"/>
        <w:numPr>
          <w:ilvl w:val="0"/>
          <w:numId w:val="1016"/>
        </w:numPr>
      </w:pPr>
      <w:r>
        <w:rPr>
          <w:rStyle w:val="VerbatimChar"/>
        </w:rPr>
        <w:t xml:space="preserve">NotImplementedError</w:t>
      </w:r>
      <w:r>
        <w:t xml:space="preserve"> </w:t>
      </w:r>
      <w:r>
        <w:t xml:space="preserve">in You Do is deliberate scaffolding.</w:t>
      </w:r>
    </w:p>
    <w:p>
      <w:pPr>
        <w:pStyle w:val="Compact"/>
        <w:numPr>
          <w:ilvl w:val="0"/>
          <w:numId w:val="1016"/>
        </w:numPr>
      </w:pPr>
      <w:r>
        <w:t xml:space="preserve">“Opcional en producción”</w:t>
      </w:r>
      <w:r>
        <w:t xml:space="preserve"> </w:t>
      </w:r>
      <w:r>
        <w:t xml:space="preserve">is a learner-facing technical note.</w:t>
      </w:r>
    </w:p>
    <w:bookmarkEnd w:id="50"/>
    <w:bookmarkStart w:id="51" w:name="structural-meta-identity-leak"/>
    <w:p>
      <w:pPr>
        <w:pStyle w:val="Heading2"/>
      </w:pPr>
      <w:r>
        <w:t xml:space="preserve">Structural meta-identity leak</w:t>
      </w:r>
    </w:p>
    <w:p>
      <w:pPr>
        <w:pStyle w:val="FirstParagraph"/>
      </w:pPr>
      <w:r>
        <w:rPr>
          <w:b/>
          <w:bCs/>
        </w:rPr>
        <w:t xml:space="preserve">Exact stale text:</w:t>
      </w:r>
      <w:r>
        <w:t xml:space="preserve"> </w:t>
      </w:r>
      <w:r>
        <w:rPr>
          <w:rStyle w:val="VerbatimChar"/>
        </w:rPr>
        <w:t xml:space="preserve">streaming-data</w:t>
      </w:r>
    </w:p>
    <w:p>
      <w:pPr>
        <w:pStyle w:val="BodyText"/>
      </w:pPr>
      <w:r>
        <w:t xml:space="preserve">It appears in the source filename, platform id, ledger, assessment key and hash route despite the section now being about graph evidence. This is an information-architecture leak from an older roadmap, not a prose leak.</w:t>
      </w:r>
    </w:p>
    <w:bookmarkEnd w:id="51"/>
    <w:bookmarkEnd w:id="52"/>
    <w:bookmarkStart w:id="60" w:name="pedagogical-redaction-deep-dive"/>
    <w:p>
      <w:pPr>
        <w:pStyle w:val="Heading1"/>
      </w:pPr>
      <w:r>
        <w:t xml:space="preserve">5. Pedagogical &amp; Redaction Deep Dive</w:t>
      </w:r>
    </w:p>
    <w:bookmarkStart w:id="53" w:name="narrative-flow"/>
    <w:p>
      <w:pPr>
        <w:pStyle w:val="Heading2"/>
      </w:pPr>
      <w:r>
        <w:t xml:space="preserve">Narrative flow</w:t>
      </w:r>
    </w:p>
    <w:p>
      <w:pPr>
        <w:pStyle w:val="FirstParagraph"/>
      </w:pPr>
      <w:r>
        <w:t xml:space="preserve">The S30→S31 transition is excellent. It moves from:</w:t>
      </w:r>
    </w:p>
    <w:p>
      <w:pPr>
        <w:pStyle w:val="BlockText"/>
      </w:pPr>
      <w:r>
        <w:t xml:space="preserve">“¿Estos registros representan la misma entidad?”</w:t>
      </w:r>
    </w:p>
    <w:p>
      <w:pPr>
        <w:pStyle w:val="FirstParagraph"/>
      </w:pPr>
      <w:r>
        <w:t xml:space="preserve">to:</w:t>
      </w:r>
    </w:p>
    <w:p>
      <w:pPr>
        <w:pStyle w:val="BlockText"/>
      </w:pPr>
      <w:r>
        <w:t xml:space="preserve">“¿Cómo están conectadas estas entidades?”</w:t>
      </w:r>
    </w:p>
    <w:p>
      <w:pPr>
        <w:pStyle w:val="FirstParagraph"/>
      </w:pPr>
      <w:r>
        <w:t xml:space="preserve">The stable synthetic-case framing and T1–T4 preview provide strong orientation.</w:t>
      </w:r>
    </w:p>
    <w:p>
      <w:pPr>
        <w:pStyle w:val="BodyText"/>
      </w:pPr>
      <w:r>
        <w:t xml:space="preserve">The flow weakens after the introduction because most demonstrations switch to unrelated micro-fixtures. The declared case thread is not followed end to end.</w:t>
      </w:r>
    </w:p>
    <w:bookmarkEnd w:id="53"/>
    <w:bookmarkStart w:id="54" w:name="i-do"/>
    <w:p>
      <w:pPr>
        <w:pStyle w:val="Heading2"/>
      </w:pPr>
      <w:r>
        <w:t xml:space="preserve">I Do</w:t>
      </w:r>
    </w:p>
    <w:p>
      <w:pPr>
        <w:pStyle w:val="FirstParagraph"/>
      </w:pPr>
      <w:r>
        <w:t xml:space="preserve">Numerically complete but cognitively thin. The section needs one fully narrated worked case showing:</w:t>
      </w:r>
    </w:p>
    <w:p>
      <w:pPr>
        <w:pStyle w:val="Compact"/>
        <w:numPr>
          <w:ilvl w:val="0"/>
          <w:numId w:val="1017"/>
        </w:numPr>
      </w:pPr>
      <w:r>
        <w:t xml:space="preserve">a raw source record;</w:t>
      </w:r>
    </w:p>
    <w:p>
      <w:pPr>
        <w:pStyle w:val="Compact"/>
        <w:numPr>
          <w:ilvl w:val="0"/>
          <w:numId w:val="1017"/>
        </w:numPr>
      </w:pPr>
      <w:r>
        <w:t xml:space="preserve">canonical id generation;</w:t>
      </w:r>
    </w:p>
    <w:p>
      <w:pPr>
        <w:pStyle w:val="Compact"/>
        <w:numPr>
          <w:ilvl w:val="0"/>
          <w:numId w:val="1017"/>
        </w:numPr>
      </w:pPr>
      <w:r>
        <w:t xml:space="preserve">typed edge construction;</w:t>
      </w:r>
    </w:p>
    <w:p>
      <w:pPr>
        <w:pStyle w:val="Compact"/>
        <w:numPr>
          <w:ilvl w:val="0"/>
          <w:numId w:val="1017"/>
        </w:numPr>
      </w:pPr>
      <w:r>
        <w:t xml:space="preserve">unit and provenance validation;</w:t>
      </w:r>
    </w:p>
    <w:p>
      <w:pPr>
        <w:pStyle w:val="Compact"/>
        <w:numPr>
          <w:ilvl w:val="0"/>
          <w:numId w:val="1017"/>
        </w:numPr>
      </w:pPr>
      <w:r>
        <w:t xml:space="preserve">detail-preserving aggregation;</w:t>
      </w:r>
    </w:p>
    <w:p>
      <w:pPr>
        <w:pStyle w:val="Compact"/>
        <w:numPr>
          <w:ilvl w:val="0"/>
          <w:numId w:val="1017"/>
        </w:numPr>
      </w:pPr>
      <w:r>
        <w:t xml:space="preserve">path search;</w:t>
      </w:r>
    </w:p>
    <w:p>
      <w:pPr>
        <w:pStyle w:val="Compact"/>
        <w:numPr>
          <w:ilvl w:val="0"/>
          <w:numId w:val="1017"/>
        </w:numPr>
      </w:pPr>
      <w:r>
        <w:t xml:space="preserve">edge evidence retrieval;</w:t>
      </w:r>
    </w:p>
    <w:p>
      <w:pPr>
        <w:pStyle w:val="Compact"/>
        <w:numPr>
          <w:ilvl w:val="0"/>
          <w:numId w:val="1017"/>
        </w:numPr>
      </w:pPr>
      <w:r>
        <w:t xml:space="preserve">reviewer interpretation.</w:t>
      </w:r>
    </w:p>
    <w:bookmarkEnd w:id="54"/>
    <w:bookmarkStart w:id="55" w:name="we-do"/>
    <w:p>
      <w:pPr>
        <w:pStyle w:val="Heading2"/>
      </w:pPr>
      <w:r>
        <w:t xml:space="preserve">We Do</w:t>
      </w:r>
    </w:p>
    <w:p>
      <w:pPr>
        <w:pStyle w:val="FirstParagraph"/>
      </w:pPr>
      <w:r>
        <w:t xml:space="preserve">The exercise inventory is substantial, and the hint structure is valid: one primary hint plus two progressive hints.</w:t>
      </w:r>
    </w:p>
    <w:p>
      <w:pPr>
        <w:pStyle w:val="BodyText"/>
      </w:pPr>
      <w:r>
        <w:t xml:space="preserve">The problem is that the UI does not visibly distinguish guided work from scaffold-faded or transfer work. The responsibility shift exists only as metadata.</w:t>
      </w:r>
    </w:p>
    <w:bookmarkEnd w:id="55"/>
    <w:bookmarkStart w:id="56" w:name="you-do"/>
    <w:p>
      <w:pPr>
        <w:pStyle w:val="Heading2"/>
      </w:pPr>
      <w:r>
        <w:t xml:space="preserve">You Do</w:t>
      </w:r>
    </w:p>
    <w:p>
      <w:pPr>
        <w:pStyle w:val="FirstParagraph"/>
      </w:pPr>
      <w:r>
        <w:t xml:space="preserve">The project is authentic and portfolio-relevant. It is also the strongest evidence of constructive alignment in the section. Its main weakness is the absence of a cumulative guided lab immediately before it.</w:t>
      </w:r>
    </w:p>
    <w:bookmarkEnd w:id="56"/>
    <w:bookmarkStart w:id="57" w:name="cognitive-load"/>
    <w:p>
      <w:pPr>
        <w:pStyle w:val="Heading2"/>
      </w:pPr>
      <w:r>
        <w:t xml:space="preserve">Cognitive load</w:t>
      </w:r>
    </w:p>
    <w:p>
      <w:pPr>
        <w:pStyle w:val="FirstParagraph"/>
      </w:pPr>
      <w:r>
        <w:t xml:space="preserve">A better progression would separate:</w:t>
      </w:r>
    </w:p>
    <w:p>
      <w:pPr>
        <w:pStyle w:val="Compact"/>
        <w:numPr>
          <w:ilvl w:val="0"/>
          <w:numId w:val="1018"/>
        </w:numPr>
      </w:pPr>
      <w:r>
        <w:rPr>
          <w:b/>
          <w:bCs/>
        </w:rPr>
        <w:t xml:space="preserve">Core:</w:t>
      </w:r>
      <w:r>
        <w:t xml:space="preserve"> </w:t>
      </w:r>
      <w:r>
        <w:t xml:space="preserve">schema, construction, provenance and one path;</w:t>
      </w:r>
    </w:p>
    <w:p>
      <w:pPr>
        <w:pStyle w:val="Compact"/>
        <w:numPr>
          <w:ilvl w:val="0"/>
          <w:numId w:val="1018"/>
        </w:numPr>
      </w:pPr>
      <w:r>
        <w:rPr>
          <w:b/>
          <w:bCs/>
        </w:rPr>
        <w:t xml:space="preserve">Extension A:</w:t>
      </w:r>
      <w:r>
        <w:t xml:space="preserve"> </w:t>
      </w:r>
      <w:r>
        <w:t xml:space="preserve">aggregation and components;</w:t>
      </w:r>
    </w:p>
    <w:p>
      <w:pPr>
        <w:pStyle w:val="Compact"/>
        <w:numPr>
          <w:ilvl w:val="0"/>
          <w:numId w:val="1018"/>
        </w:numPr>
      </w:pPr>
      <w:r>
        <w:rPr>
          <w:b/>
          <w:bCs/>
        </w:rPr>
        <w:t xml:space="preserve">Extension B:</w:t>
      </w:r>
      <w:r>
        <w:t xml:space="preserve"> </w:t>
      </w:r>
      <w:r>
        <w:t xml:space="preserve">centrality;</w:t>
      </w:r>
    </w:p>
    <w:p>
      <w:pPr>
        <w:pStyle w:val="Compact"/>
        <w:numPr>
          <w:ilvl w:val="0"/>
          <w:numId w:val="1018"/>
        </w:numPr>
      </w:pPr>
      <w:r>
        <w:rPr>
          <w:b/>
          <w:bCs/>
        </w:rPr>
        <w:t xml:space="preserve">Extension C:</w:t>
      </w:r>
      <w:r>
        <w:t xml:space="preserve"> </w:t>
      </w:r>
      <w:r>
        <w:t xml:space="preserve">scale and visualisation.</w:t>
      </w:r>
    </w:p>
    <w:p>
      <w:pPr>
        <w:pStyle w:val="FirstParagraph"/>
      </w:pPr>
      <w:r>
        <w:t xml:space="preserve">Repeated ethical disclaimers should be consolidated into one durable interpretation framework, freeing space for technical distinctions.</w:t>
      </w:r>
    </w:p>
    <w:bookmarkEnd w:id="57"/>
    <w:bookmarkStart w:id="58" w:name="assessment"/>
    <w:p>
      <w:pPr>
        <w:pStyle w:val="Heading2"/>
      </w:pPr>
      <w:r>
        <w:t xml:space="preserve">Assessment</w:t>
      </w:r>
    </w:p>
    <w:p>
      <w:pPr>
        <w:pStyle w:val="FirstParagraph"/>
      </w:pPr>
      <w:r>
        <w:t xml:space="preserve">The self-check provides immediate explanations and better answer-position variation than the exam bank. It nevertheless over-samples</w:t>
      </w:r>
      <w:r>
        <w:t xml:space="preserve"> </w:t>
      </w:r>
      <w:r>
        <w:t xml:space="preserve">“not guilt/not parentage”</w:t>
      </w:r>
      <w:r>
        <w:t xml:space="preserve"> </w:t>
      </w:r>
      <w:r>
        <w:t xml:space="preserve">recognition and under-samples debugging, schema comparison and evidence-trace reconstruction.</w:t>
      </w:r>
    </w:p>
    <w:bookmarkEnd w:id="58"/>
    <w:bookmarkStart w:id="59" w:name="external-comparison"/>
    <w:p>
      <w:pPr>
        <w:pStyle w:val="Heading2"/>
      </w:pPr>
      <w:r>
        <w:t xml:space="preserve">External comparison</w:t>
      </w:r>
    </w:p>
    <w:p>
      <w:pPr>
        <w:pStyle w:val="FirstParagraph"/>
      </w:pPr>
      <w:r>
        <w:t xml:space="preserve">NetworkX gives precise graph-class and centrality definitions. W3C PROV provides a formal provenance model. Neo4j GraphAcademy separates nodes, relationships, testing, refactoring and intermediate nodes into smaller hands-on modules.</w:t>
      </w:r>
    </w:p>
    <w:p>
      <w:pPr>
        <w:pStyle w:val="BodyText"/>
      </w:pPr>
      <w:r>
        <w:t xml:space="preserve">Section 31 has a stronger responsible-investigation context than these general resources, but it is weaker in technical precision, visual modelling and modular progression.</w:t>
      </w:r>
    </w:p>
    <w:bookmarkEnd w:id="59"/>
    <w:bookmarkEnd w:id="60"/>
    <w:bookmarkStart w:id="61" w:name="proposed-github-style-diffs"/>
    <w:p>
      <w:pPr>
        <w:pStyle w:val="Heading1"/>
      </w:pPr>
      <w:r>
        <w:t xml:space="preserve">6. Proposed GitHub-style Diffs</w:t>
      </w:r>
    </w:p>
    <w:p>
      <w:pPr>
        <w:pStyle w:val="FirstParagraph"/>
      </w:pPr>
      <w:r>
        <w:t xml:space="preserve">The complete report contains 14 ready-to-review diff groups. The highest-priority patches are:</w:t>
      </w:r>
    </w:p>
    <w:p>
      <w:pPr>
        <w:pStyle w:val="Compact"/>
        <w:numPr>
          <w:ilvl w:val="0"/>
          <w:numId w:val="1019"/>
        </w:numPr>
      </w:pPr>
      <w:r>
        <w:t xml:space="preserve">Rename</w:t>
      </w:r>
      <w:r>
        <w:t xml:space="preserve"> </w:t>
      </w:r>
      <w:r>
        <w:rPr>
          <w:rStyle w:val="VerbatimChar"/>
        </w:rPr>
        <w:t xml:space="preserve">s31-streaming-data.ts</w:t>
      </w:r>
      <w:r>
        <w:t xml:space="preserve"> </w:t>
      </w:r>
      <w:r>
        <w:t xml:space="preserve">and migrate the platform id to</w:t>
      </w:r>
      <w:r>
        <w:t xml:space="preserve"> </w:t>
      </w:r>
      <w:r>
        <w:rPr>
          <w:rStyle w:val="VerbatimChar"/>
        </w:rPr>
        <w:t xml:space="preserve">graph-evidence</w:t>
      </w:r>
      <w:r>
        <w:t xml:space="preserve">, preserving a compatibility route.</w:t>
      </w:r>
    </w:p>
    <w:p>
      <w:pPr>
        <w:pStyle w:val="Compact"/>
        <w:numPr>
          <w:ilvl w:val="0"/>
          <w:numId w:val="1019"/>
        </w:numPr>
      </w:pPr>
      <w:r>
        <w:t xml:space="preserve">Introduce one canonical edge schema with typed units and stable provenance fields.</w:t>
      </w:r>
    </w:p>
    <w:p>
      <w:pPr>
        <w:pStyle w:val="Compact"/>
        <w:numPr>
          <w:ilvl w:val="0"/>
          <w:numId w:val="1019"/>
        </w:numPr>
      </w:pPr>
      <w:r>
        <w:t xml:space="preserve">Aggregate by edge type, direction and unit rather than only</w:t>
      </w:r>
      <w:r>
        <w:t xml:space="preserve"> </w:t>
      </w:r>
      <w:r>
        <w:rPr>
          <w:rStyle w:val="VerbatimChar"/>
        </w:rPr>
        <w:t xml:space="preserve">(src, dst)</w:t>
      </w:r>
      <w:r>
        <w:t xml:space="preserve">.</w:t>
      </w:r>
    </w:p>
    <w:p>
      <w:pPr>
        <w:pStyle w:val="Compact"/>
        <w:numPr>
          <w:ilvl w:val="0"/>
          <w:numId w:val="1019"/>
        </w:numPr>
      </w:pPr>
      <w:r>
        <w:t xml:space="preserve">Implement standard degree centrality or rename the custom score.</w:t>
      </w:r>
    </w:p>
    <w:p>
      <w:pPr>
        <w:pStyle w:val="Compact"/>
        <w:numPr>
          <w:ilvl w:val="0"/>
          <w:numId w:val="1019"/>
        </w:numPr>
      </w:pPr>
      <w:r>
        <w:t xml:space="preserve">Preserve direction during deterministic canonicalisation.</w:t>
      </w:r>
    </w:p>
    <w:p>
      <w:pPr>
        <w:pStyle w:val="Compact"/>
        <w:numPr>
          <w:ilvl w:val="0"/>
          <w:numId w:val="1019"/>
        </w:numPr>
      </w:pPr>
      <w:r>
        <w:t xml:space="preserve">Replace hard-coded success values with computed assertions.</w:t>
      </w:r>
    </w:p>
    <w:p>
      <w:pPr>
        <w:pStyle w:val="Compact"/>
        <w:numPr>
          <w:ilvl w:val="0"/>
          <w:numId w:val="1019"/>
        </w:numPr>
      </w:pPr>
      <w:r>
        <w:t xml:space="preserve">Add typed provenance/evidence exceptions.</w:t>
      </w:r>
    </w:p>
    <w:p>
      <w:pPr>
        <w:pStyle w:val="Compact"/>
        <w:numPr>
          <w:ilvl w:val="0"/>
          <w:numId w:val="1019"/>
        </w:numPr>
      </w:pPr>
      <w:r>
        <w:t xml:space="preserve">Add an end-to-end expert-modelled case.</w:t>
      </w:r>
    </w:p>
    <w:p>
      <w:pPr>
        <w:pStyle w:val="Compact"/>
        <w:numPr>
          <w:ilvl w:val="0"/>
          <w:numId w:val="1019"/>
        </w:numPr>
      </w:pPr>
      <w:r>
        <w:t xml:space="preserve">Separate guided, scaffold-faded and transfer practice.</w:t>
      </w:r>
    </w:p>
    <w:p>
      <w:pPr>
        <w:pStyle w:val="Compact"/>
        <w:numPr>
          <w:ilvl w:val="0"/>
          <w:numId w:val="1019"/>
        </w:numPr>
      </w:pPr>
      <w:r>
        <w:t xml:space="preserve">Replace expected-output strings with executable checks and diagnostic feedback.</w:t>
      </w:r>
    </w:p>
    <w:p>
      <w:pPr>
        <w:pStyle w:val="Compact"/>
        <w:numPr>
          <w:ilvl w:val="0"/>
          <w:numId w:val="1019"/>
        </w:numPr>
      </w:pPr>
      <w:r>
        <w:t xml:space="preserve">Rebalance exam answer positions and replace implausible distractors.</w:t>
      </w:r>
    </w:p>
    <w:p>
      <w:pPr>
        <w:pStyle w:val="Compact"/>
        <w:numPr>
          <w:ilvl w:val="0"/>
          <w:numId w:val="1019"/>
        </w:numPr>
      </w:pPr>
      <w:r>
        <w:t xml:space="preserve">Mount four authentic topic evaluations and extend the completion gate.</w:t>
      </w:r>
    </w:p>
    <w:p>
      <w:pPr>
        <w:pStyle w:val="Compact"/>
        <w:numPr>
          <w:ilvl w:val="0"/>
          <w:numId w:val="1019"/>
        </w:numPr>
      </w:pPr>
      <w:r>
        <w:t xml:space="preserve">Add an accessible graph/path visual with a textual equivalent.</w:t>
      </w:r>
    </w:p>
    <w:p>
      <w:pPr>
        <w:pStyle w:val="Compact"/>
        <w:numPr>
          <w:ilvl w:val="0"/>
          <w:numId w:val="1019"/>
        </w:numPr>
      </w:pPr>
      <w:r>
        <w:t xml:space="preserve">Separate the weighted rubric from critical privacy and responsible-use gates.</w:t>
      </w:r>
    </w:p>
    <w:p>
      <w:pPr>
        <w:pStyle w:val="FirstParagraph"/>
      </w:pPr>
      <w:r>
        <w:t xml:space="preserve">The full proposed patches are included in the downloadable Markdown report.</w:t>
      </w:r>
    </w:p>
    <w:bookmarkEnd w:id="61"/>
    <w:bookmarkStart w:id="65" w:name="recommended-priority-order-for-fixing"/>
    <w:p>
      <w:pPr>
        <w:pStyle w:val="Heading1"/>
      </w:pPr>
      <w:r>
        <w:t xml:space="preserve">7. Recommended Priority Order for Fixing</w:t>
      </w:r>
    </w:p>
    <w:bookmarkStart w:id="62" w:name="p0-release-blockers"/>
    <w:p>
      <w:pPr>
        <w:pStyle w:val="Heading2"/>
      </w:pPr>
      <w:r>
        <w:t xml:space="preserve">P0 — Release blockers</w:t>
      </w:r>
    </w:p>
    <w:p>
      <w:pPr>
        <w:pStyle w:val="Compact"/>
        <w:numPr>
          <w:ilvl w:val="0"/>
          <w:numId w:val="1020"/>
        </w:numPr>
      </w:pPr>
      <w:r>
        <w:t xml:space="preserve">Correct degree centrality.</w:t>
      </w:r>
    </w:p>
    <w:p>
      <w:pPr>
        <w:pStyle w:val="Compact"/>
        <w:numPr>
          <w:ilvl w:val="0"/>
          <w:numId w:val="1020"/>
        </w:numPr>
      </w:pPr>
      <w:r>
        <w:t xml:space="preserve">Preserve directed-edge semantics.</w:t>
      </w:r>
    </w:p>
    <w:p>
      <w:pPr>
        <w:pStyle w:val="Compact"/>
        <w:numPr>
          <w:ilvl w:val="0"/>
          <w:numId w:val="1020"/>
        </w:numPr>
      </w:pPr>
      <w:r>
        <w:t xml:space="preserve">Stabilise the edge and provenance schema.</w:t>
      </w:r>
    </w:p>
    <w:p>
      <w:pPr>
        <w:pStyle w:val="Compact"/>
        <w:numPr>
          <w:ilvl w:val="0"/>
          <w:numId w:val="1020"/>
        </w:numPr>
      </w:pPr>
      <w:r>
        <w:t xml:space="preserve">Correct aggregation dimensions.</w:t>
      </w:r>
    </w:p>
    <w:p>
      <w:pPr>
        <w:pStyle w:val="Compact"/>
        <w:numPr>
          <w:ilvl w:val="0"/>
          <w:numId w:val="1020"/>
        </w:numPr>
      </w:pPr>
      <w:r>
        <w:t xml:space="preserve">Replace pseudo-tests and silent evidence failures.</w:t>
      </w:r>
    </w:p>
    <w:p>
      <w:pPr>
        <w:pStyle w:val="Compact"/>
        <w:numPr>
          <w:ilvl w:val="0"/>
          <w:numId w:val="1020"/>
        </w:numPr>
      </w:pPr>
      <w:r>
        <w:t xml:space="preserve">Repair exam answer-position bias and distractors.</w:t>
      </w:r>
    </w:p>
    <w:bookmarkEnd w:id="62"/>
    <w:bookmarkStart w:id="63" w:name="p1-pedagogical-acceptance-blockers"/>
    <w:p>
      <w:pPr>
        <w:pStyle w:val="Heading2"/>
      </w:pPr>
      <w:r>
        <w:t xml:space="preserve">P1 — Pedagogical acceptance blockers</w:t>
      </w:r>
    </w:p>
    <w:p>
      <w:pPr>
        <w:pStyle w:val="Compact"/>
        <w:numPr>
          <w:ilvl w:val="0"/>
          <w:numId w:val="1021"/>
        </w:numPr>
      </w:pPr>
      <w:r>
        <w:t xml:space="preserve">Add four topic evaluations and enforce them in the release gate.</w:t>
      </w:r>
    </w:p>
    <w:p>
      <w:pPr>
        <w:pStyle w:val="Compact"/>
        <w:numPr>
          <w:ilvl w:val="0"/>
          <w:numId w:val="1021"/>
        </w:numPr>
      </w:pPr>
      <w:r>
        <w:t xml:space="preserve">Add one cumulative worked case.</w:t>
      </w:r>
    </w:p>
    <w:p>
      <w:pPr>
        <w:pStyle w:val="Compact"/>
        <w:numPr>
          <w:ilvl w:val="0"/>
          <w:numId w:val="1021"/>
        </w:numPr>
      </w:pPr>
      <w:r>
        <w:t xml:space="preserve">Separate guided, faded and transfer stages.</w:t>
      </w:r>
    </w:p>
    <w:p>
      <w:pPr>
        <w:pStyle w:val="Compact"/>
        <w:numPr>
          <w:ilvl w:val="0"/>
          <w:numId w:val="1021"/>
        </w:numPr>
      </w:pPr>
      <w:r>
        <w:t xml:space="preserve">Add an accessible graph and path-evidence visual.</w:t>
      </w:r>
    </w:p>
    <w:p>
      <w:pPr>
        <w:pStyle w:val="Compact"/>
        <w:numPr>
          <w:ilvl w:val="0"/>
          <w:numId w:val="1021"/>
        </w:numPr>
      </w:pPr>
      <w:r>
        <w:t xml:space="preserve">Clarify the rubric and critical gates.</w:t>
      </w:r>
    </w:p>
    <w:p>
      <w:pPr>
        <w:pStyle w:val="Compact"/>
        <w:numPr>
          <w:ilvl w:val="0"/>
          <w:numId w:val="1021"/>
        </w:numPr>
      </w:pPr>
      <w:r>
        <w:t xml:space="preserve">Add a NetworkX</w:t>
      </w:r>
      <w:r>
        <w:t xml:space="preserve"> </w:t>
      </w:r>
      <w:r>
        <w:rPr>
          <w:rStyle w:val="VerbatimChar"/>
        </w:rPr>
        <w:t xml:space="preserve">MultiDiGraph</w:t>
      </w:r>
      <w:r>
        <w:t xml:space="preserve"> </w:t>
      </w:r>
      <w:r>
        <w:t xml:space="preserve">implementation bridge.</w:t>
      </w:r>
    </w:p>
    <w:bookmarkEnd w:id="63"/>
    <w:bookmarkStart w:id="64" w:name="p2-editorial-and-maintainability"/>
    <w:p>
      <w:pPr>
        <w:pStyle w:val="Heading2"/>
      </w:pPr>
      <w:r>
        <w:t xml:space="preserve">P2 — Editorial and maintainability</w:t>
      </w:r>
    </w:p>
    <w:p>
      <w:pPr>
        <w:pStyle w:val="Compact"/>
        <w:numPr>
          <w:ilvl w:val="0"/>
          <w:numId w:val="1022"/>
        </w:numPr>
      </w:pPr>
      <w:r>
        <w:t xml:space="preserve">Migrate the stale</w:t>
      </w:r>
      <w:r>
        <w:t xml:space="preserve"> </w:t>
      </w:r>
      <w:r>
        <w:rPr>
          <w:rStyle w:val="VerbatimChar"/>
        </w:rPr>
        <w:t xml:space="preserve">streaming-data</w:t>
      </w:r>
      <w:r>
        <w:t xml:space="preserve"> </w:t>
      </w:r>
      <w:r>
        <w:t xml:space="preserve">identity.</w:t>
      </w:r>
    </w:p>
    <w:p>
      <w:pPr>
        <w:pStyle w:val="Compact"/>
        <w:numPr>
          <w:ilvl w:val="0"/>
          <w:numId w:val="1022"/>
        </w:numPr>
      </w:pPr>
      <w:r>
        <w:t xml:space="preserve">Standardise es-PE technical terminology.</w:t>
      </w:r>
    </w:p>
    <w:p>
      <w:pPr>
        <w:pStyle w:val="Compact"/>
        <w:numPr>
          <w:ilvl w:val="0"/>
          <w:numId w:val="1022"/>
        </w:numPr>
      </w:pPr>
      <w:r>
        <w:t xml:space="preserve">Explain contact-node versus direct shared-contact projection.</w:t>
      </w:r>
    </w:p>
    <w:p>
      <w:pPr>
        <w:pStyle w:val="Compact"/>
        <w:numPr>
          <w:ilvl w:val="0"/>
          <w:numId w:val="1022"/>
        </w:numPr>
      </w:pPr>
      <w:r>
        <w:t xml:space="preserve">Replace ordinary full names with clearly synthetic labels.</w:t>
      </w:r>
    </w:p>
    <w:p>
      <w:pPr>
        <w:pStyle w:val="Compact"/>
        <w:numPr>
          <w:ilvl w:val="0"/>
          <w:numId w:val="1022"/>
        </w:numPr>
      </w:pPr>
      <w:r>
        <w:t xml:space="preserve">Benchmark or configure the visualisation threshold.</w:t>
      </w:r>
    </w:p>
    <w:p>
      <w:pPr>
        <w:pStyle w:val="Compact"/>
        <w:numPr>
          <w:ilvl w:val="0"/>
          <w:numId w:val="1022"/>
        </w:numPr>
      </w:pPr>
      <w:r>
        <w:t xml:space="preserve">Curate and rank resources.</w:t>
      </w:r>
    </w:p>
    <w:bookmarkEnd w:id="64"/>
    <w:bookmarkEnd w:id="65"/>
    <w:bookmarkStart w:id="69" w:name="graph-memory-update-notes"/>
    <w:p>
      <w:pPr>
        <w:pStyle w:val="Heading1"/>
      </w:pPr>
      <w:r>
        <w:t xml:space="preserve">8. Graph Memory Update Notes</w:t>
      </w:r>
    </w:p>
    <w:bookmarkStart w:id="66" w:name="preserve"/>
    <w:p>
      <w:pPr>
        <w:pStyle w:val="Heading2"/>
      </w:pPr>
      <w:r>
        <w:t xml:space="preserve">Preserve</w:t>
      </w:r>
    </w:p>
    <w:p>
      <w:pPr>
        <w:pStyle w:val="Compact"/>
        <w:numPr>
          <w:ilvl w:val="0"/>
          <w:numId w:val="1023"/>
        </w:numPr>
      </w:pPr>
      <w:r>
        <w:t xml:space="preserve">Strong S30→S31 conceptual bridge.</w:t>
      </w:r>
    </w:p>
    <w:p>
      <w:pPr>
        <w:pStyle w:val="Compact"/>
        <w:numPr>
          <w:ilvl w:val="0"/>
          <w:numId w:val="1023"/>
        </w:numPr>
      </w:pPr>
      <w:r>
        <w:rPr>
          <w:rStyle w:val="VerbatimChar"/>
        </w:rPr>
        <w:t xml:space="preserve">CASO-LIM-031</w:t>
      </w:r>
      <w:r>
        <w:t xml:space="preserve"> </w:t>
      </w:r>
      <w:r>
        <w:t xml:space="preserve">as the stable synthetic context.</w:t>
      </w:r>
    </w:p>
    <w:p>
      <w:pPr>
        <w:pStyle w:val="Compact"/>
        <w:numPr>
          <w:ilvl w:val="0"/>
          <w:numId w:val="1023"/>
        </w:numPr>
      </w:pPr>
      <w:r>
        <w:t xml:space="preserve">Provenance-first design.</w:t>
      </w:r>
    </w:p>
    <w:p>
      <w:pPr>
        <w:pStyle w:val="Compact"/>
        <w:numPr>
          <w:ilvl w:val="0"/>
          <w:numId w:val="1023"/>
        </w:numPr>
      </w:pPr>
      <w:r>
        <w:t xml:space="preserve">Detail-plus-aggregate architecture.</w:t>
      </w:r>
    </w:p>
    <w:p>
      <w:pPr>
        <w:pStyle w:val="Compact"/>
        <w:numPr>
          <w:ilvl w:val="0"/>
          <w:numId w:val="1023"/>
        </w:numPr>
      </w:pPr>
      <w:r>
        <w:t xml:space="preserve">Human-review and privacy boundaries.</w:t>
      </w:r>
    </w:p>
    <w:p>
      <w:pPr>
        <w:pStyle w:val="Compact"/>
        <w:numPr>
          <w:ilvl w:val="0"/>
          <w:numId w:val="1023"/>
        </w:numPr>
      </w:pPr>
      <w:r>
        <w:t xml:space="preserve">Centrality-not-culpability policy.</w:t>
      </w:r>
    </w:p>
    <w:p>
      <w:pPr>
        <w:pStyle w:val="Compact"/>
        <w:numPr>
          <w:ilvl w:val="0"/>
          <w:numId w:val="1023"/>
        </w:numPr>
      </w:pPr>
      <w:r>
        <w:t xml:space="preserve">CP-N3-B portfolio project.</w:t>
      </w:r>
    </w:p>
    <w:bookmarkEnd w:id="66"/>
    <w:bookmarkStart w:id="67" w:name="add-defect-nodes"/>
    <w:p>
      <w:pPr>
        <w:pStyle w:val="Heading2"/>
      </w:pPr>
      <w:r>
        <w:t xml:space="preserve">Add defect nodes</w:t>
      </w:r>
    </w:p>
    <w:p>
      <w:pPr>
        <w:pStyle w:val="Compact"/>
        <w:numPr>
          <w:ilvl w:val="0"/>
          <w:numId w:val="1024"/>
        </w:numPr>
      </w:pPr>
      <w:r>
        <w:rPr>
          <w:rStyle w:val="VerbatimChar"/>
        </w:rPr>
        <w:t xml:space="preserve">degree-centrality → incorrect normalisation</w:t>
      </w:r>
      <w:r>
        <w:t xml:space="preserve">;</w:t>
      </w:r>
    </w:p>
    <w:p>
      <w:pPr>
        <w:pStyle w:val="Compact"/>
        <w:numPr>
          <w:ilvl w:val="0"/>
          <w:numId w:val="1024"/>
        </w:numPr>
      </w:pPr>
      <w:r>
        <w:rPr>
          <w:rStyle w:val="VerbatimChar"/>
        </w:rPr>
        <w:t xml:space="preserve">idempotent-builder → destroys direction</w:t>
      </w:r>
      <w:r>
        <w:t xml:space="preserve">;</w:t>
      </w:r>
    </w:p>
    <w:p>
      <w:pPr>
        <w:pStyle w:val="Compact"/>
        <w:numPr>
          <w:ilvl w:val="0"/>
          <w:numId w:val="1024"/>
        </w:numPr>
      </w:pPr>
      <w:r>
        <w:rPr>
          <w:rStyle w:val="VerbatimChar"/>
        </w:rPr>
        <w:t xml:space="preserve">edge-schema → mixed units</w:t>
      </w:r>
      <w:r>
        <w:t xml:space="preserve">;</w:t>
      </w:r>
    </w:p>
    <w:p>
      <w:pPr>
        <w:pStyle w:val="Compact"/>
        <w:numPr>
          <w:ilvl w:val="0"/>
          <w:numId w:val="1024"/>
        </w:numPr>
      </w:pPr>
      <w:r>
        <w:rPr>
          <w:rStyle w:val="VerbatimChar"/>
        </w:rPr>
        <w:t xml:space="preserve">provenance → inconsistent field names</w:t>
      </w:r>
      <w:r>
        <w:t xml:space="preserve">;</w:t>
      </w:r>
    </w:p>
    <w:p>
      <w:pPr>
        <w:pStyle w:val="Compact"/>
        <w:numPr>
          <w:ilvl w:val="0"/>
          <w:numId w:val="1024"/>
        </w:numPr>
      </w:pPr>
      <w:r>
        <w:rPr>
          <w:rStyle w:val="VerbatimChar"/>
        </w:rPr>
        <w:t xml:space="preserve">aggregation → incomplete semantic key</w:t>
      </w:r>
      <w:r>
        <w:t xml:space="preserve">;</w:t>
      </w:r>
    </w:p>
    <w:p>
      <w:pPr>
        <w:pStyle w:val="Compact"/>
        <w:numPr>
          <w:ilvl w:val="0"/>
          <w:numId w:val="1024"/>
        </w:numPr>
      </w:pPr>
      <w:r>
        <w:rPr>
          <w:rStyle w:val="VerbatimChar"/>
        </w:rPr>
        <w:t xml:space="preserve">tests → hard-coded success</w:t>
      </w:r>
      <w:r>
        <w:t xml:space="preserve">;</w:t>
      </w:r>
    </w:p>
    <w:p>
      <w:pPr>
        <w:pStyle w:val="Compact"/>
        <w:numPr>
          <w:ilvl w:val="0"/>
          <w:numId w:val="1024"/>
        </w:numPr>
      </w:pPr>
      <w:r>
        <w:rPr>
          <w:rStyle w:val="VerbatimChar"/>
        </w:rPr>
        <w:t xml:space="preserve">exam-bank → 21/24 answers at index 1</w:t>
      </w:r>
      <w:r>
        <w:t xml:space="preserve">;</w:t>
      </w:r>
    </w:p>
    <w:p>
      <w:pPr>
        <w:pStyle w:val="Compact"/>
        <w:numPr>
          <w:ilvl w:val="0"/>
          <w:numId w:val="1024"/>
        </w:numPr>
      </w:pPr>
      <w:r>
        <w:rPr>
          <w:rStyle w:val="VerbatimChar"/>
        </w:rPr>
        <w:t xml:space="preserve">weDo → responsibility levels conflated</w:t>
      </w:r>
      <w:r>
        <w:t xml:space="preserve">;</w:t>
      </w:r>
    </w:p>
    <w:p>
      <w:pPr>
        <w:pStyle w:val="Compact"/>
        <w:numPr>
          <w:ilvl w:val="0"/>
          <w:numId w:val="1024"/>
        </w:numPr>
      </w:pPr>
      <w:r>
        <w:rPr>
          <w:rStyle w:val="VerbatimChar"/>
        </w:rPr>
        <w:t xml:space="preserve">visualisation → no graph visual</w:t>
      </w:r>
      <w:r>
        <w:t xml:space="preserve">;</w:t>
      </w:r>
    </w:p>
    <w:p>
      <w:pPr>
        <w:pStyle w:val="Compact"/>
        <w:numPr>
          <w:ilvl w:val="0"/>
          <w:numId w:val="1024"/>
        </w:numPr>
      </w:pPr>
      <w:r>
        <w:rPr>
          <w:rStyle w:val="VerbatimChar"/>
        </w:rPr>
        <w:t xml:space="preserve">completion-gate → validates counts, not full quality</w:t>
      </w:r>
      <w:r>
        <w:t xml:space="preserve">;</w:t>
      </w:r>
    </w:p>
    <w:p>
      <w:pPr>
        <w:pStyle w:val="Compact"/>
        <w:numPr>
          <w:ilvl w:val="0"/>
          <w:numId w:val="1024"/>
        </w:numPr>
      </w:pPr>
      <w:r>
        <w:rPr>
          <w:rStyle w:val="VerbatimChar"/>
        </w:rPr>
        <w:t xml:space="preserve">platform-id → stale streaming-data identity</w:t>
      </w:r>
      <w:r>
        <w:t xml:space="preserve">.</w:t>
      </w:r>
    </w:p>
    <w:bookmarkEnd w:id="67"/>
    <w:bookmarkStart w:id="68" w:name="add-canonical-policy-edges"/>
    <w:p>
      <w:pPr>
        <w:pStyle w:val="Heading2"/>
      </w:pPr>
      <w:r>
        <w:t xml:space="preserve">Add canonical policy edges</w:t>
      </w:r>
    </w:p>
    <w:p>
      <w:pPr>
        <w:pStyle w:val="Compact"/>
        <w:numPr>
          <w:ilvl w:val="0"/>
          <w:numId w:val="1025"/>
        </w:numPr>
      </w:pPr>
      <w:r>
        <w:t xml:space="preserve">Every evidence edge must declare id, type, direction, time, source system, run id and record id.</w:t>
      </w:r>
    </w:p>
    <w:p>
      <w:pPr>
        <w:pStyle w:val="Compact"/>
        <w:numPr>
          <w:ilvl w:val="0"/>
          <w:numId w:val="1025"/>
        </w:numPr>
      </w:pPr>
      <w:r>
        <w:t xml:space="preserve">Every numeric edge attribute must declare a unit.</w:t>
      </w:r>
    </w:p>
    <w:p>
      <w:pPr>
        <w:pStyle w:val="Compact"/>
        <w:numPr>
          <w:ilvl w:val="0"/>
          <w:numId w:val="1025"/>
        </w:numPr>
      </w:pPr>
      <w:r>
        <w:t xml:space="preserve">Aggregates must preserve atomic provenance.</w:t>
      </w:r>
    </w:p>
    <w:p>
      <w:pPr>
        <w:pStyle w:val="Compact"/>
        <w:numPr>
          <w:ilvl w:val="0"/>
          <w:numId w:val="1025"/>
        </w:numPr>
      </w:pPr>
      <w:r>
        <w:t xml:space="preserve">Directed and undirected canonicalisation must use separate rules.</w:t>
      </w:r>
    </w:p>
    <w:p>
      <w:pPr>
        <w:pStyle w:val="Compact"/>
        <w:numPr>
          <w:ilvl w:val="0"/>
          <w:numId w:val="1025"/>
        </w:numPr>
      </w:pPr>
      <w:r>
        <w:t xml:space="preserve">Every displayed path must expose evidence for each hop.</w:t>
      </w:r>
    </w:p>
    <w:p>
      <w:pPr>
        <w:pStyle w:val="Compact"/>
        <w:numPr>
          <w:ilvl w:val="0"/>
          <w:numId w:val="1025"/>
        </w:numPr>
      </w:pPr>
      <w:r>
        <w:t xml:space="preserve">Standard graph metrics must use standard names and formulas.</w:t>
      </w:r>
    </w:p>
    <w:p>
      <w:pPr>
        <w:pStyle w:val="Compact"/>
        <w:numPr>
          <w:ilvl w:val="0"/>
          <w:numId w:val="1025"/>
        </w:numPr>
      </w:pPr>
      <w:r>
        <w:t xml:space="preserve">Privacy and non-inference requirements must be critical gates rather than optional bonuses.</w:t>
      </w:r>
    </w:p>
    <w:p>
      <w:pPr>
        <w:pStyle w:val="FirstParagraph"/>
      </w:pPr>
      <w:r>
        <w:rPr>
          <w:b/>
          <w:bCs/>
        </w:rPr>
        <w:t xml:space="preserve">This is the complete Explorer report for Section 31. Ready for the Fixer prompt.</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2026-07-25T16:09:39Z</dcterms:created>
  <dcterms:modified xsi:type="dcterms:W3CDTF">2026-07-25T16:09:39Z</dcterms:modified>
</cp:coreProperties>
</file>

<file path=docProps/custom.xml><?xml version="1.0" encoding="utf-8"?>
<Properties xmlns="http://schemas.openxmlformats.org/officeDocument/2006/custom-properties" xmlns:vt="http://schemas.openxmlformats.org/officeDocument/2006/docPropsVTypes"/>
</file>