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explorer-report-sección-40-de-pyarcana"/>
    <w:p>
      <w:pPr>
        <w:pStyle w:val="Heading1"/>
      </w:pPr>
      <w:r>
        <w:t xml:space="preserve">Explorer Report — Sección 40 de PyArcana</w:t>
      </w:r>
    </w:p>
    <w:bookmarkStart w:id="20" w:name="section-identification-scope"/>
    <w:p>
      <w:pPr>
        <w:pStyle w:val="Heading2"/>
      </w:pPr>
      <w:r>
        <w:t xml:space="preserve">1. Section Identification &amp; Scope</w:t>
      </w:r>
    </w:p>
    <w:p>
      <w:pPr>
        <w:pStyle w:val="FirstParagraph"/>
      </w:pPr>
      <w:r>
        <w:rPr>
          <w:b/>
          <w:bCs/>
        </w:rPr>
        <w:t xml:space="preserve">Sección auditada:</w:t>
      </w:r>
      <w:r>
        <w:t xml:space="preserve"> </w:t>
      </w:r>
      <w:r>
        <w:t xml:space="preserve">S40 —</w:t>
      </w:r>
      <w:r>
        <w:t xml:space="preserve"> </w:t>
      </w:r>
      <w:r>
        <w:rPr>
          <w:b/>
          <w:bCs/>
        </w:rPr>
        <w:t xml:space="preserve">“Arquitectura, DDD y decisiones técnicas”</w:t>
      </w:r>
      <w:r>
        <w:br/>
      </w:r>
      <w:r>
        <w:rPr>
          <w:b/>
          <w:bCs/>
        </w:rPr>
        <w:t xml:space="preserve">Identificador técnico:</w:t>
      </w:r>
      <w:r>
        <w:t xml:space="preserve"> </w:t>
      </w:r>
      <w:r>
        <w:rPr>
          <w:rStyle w:val="VerbatimChar"/>
        </w:rPr>
        <w:t xml:space="preserve">agentic-architecture</w:t>
      </w:r>
      <w:r>
        <w:br/>
      </w:r>
      <w:r>
        <w:rPr>
          <w:b/>
          <w:bCs/>
        </w:rPr>
        <w:t xml:space="preserve">Fuente autoritativa:</w:t>
      </w:r>
      <w:r>
        <w:t xml:space="preserve"> </w:t>
      </w:r>
      <w:r>
        <w:rPr>
          <w:rStyle w:val="VerbatimChar"/>
        </w:rPr>
        <w:t xml:space="preserve">src/lib/course/sections/s40-agentic-architecture.ts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Nivel 4, experto → máster</w:t>
      </w:r>
      <w:r>
        <w:br/>
      </w:r>
      <w:r>
        <w:rPr>
          <w:b/>
          <w:bCs/>
        </w:rPr>
        <w:t xml:space="preserve">Duración declarada:</w:t>
      </w:r>
      <w:r>
        <w:t xml:space="preserve"> </w:t>
      </w:r>
      <w:r>
        <w:t xml:space="preserve">20 horas</w:t>
      </w:r>
      <w:r>
        <w:br/>
      </w:r>
      <w:r>
        <w:rPr>
          <w:b/>
          <w:bCs/>
        </w:rPr>
        <w:t xml:space="preserve">Caso integrador:</w:t>
      </w:r>
      <w:r>
        <w:t xml:space="preserve"> </w:t>
      </w:r>
      <w:r>
        <w:rPr>
          <w:rStyle w:val="VerbatimChar"/>
        </w:rPr>
        <w:t xml:space="preserve">CASO-LIM-040</w:t>
      </w:r>
      <w:r>
        <w:t xml:space="preserve">, Red Andina, Lima sintético</w:t>
      </w:r>
      <w:r>
        <w:br/>
      </w:r>
      <w:r>
        <w:rPr>
          <w:b/>
          <w:bCs/>
        </w:rPr>
        <w:t xml:space="preserve">Entregable:</w:t>
      </w:r>
      <w:r>
        <w:t xml:space="preserve"> </w:t>
      </w:r>
      <w:r>
        <w:t xml:space="preserve">dossier gobernado con escenarios de calidad, trade-offs, capas y ports, context map, C4, ADRs y contratos de evolución.</w:t>
      </w:r>
    </w:p>
    <w:p>
      <w:pPr>
        <w:pStyle w:val="BodyText"/>
      </w:pPr>
      <w:r>
        <w:t xml:space="preserve">La auditoría cubrió exclusivamente S40:</w:t>
      </w:r>
    </w:p>
    <w:p>
      <w:pPr>
        <w:pStyle w:val="Compact"/>
        <w:numPr>
          <w:ilvl w:val="0"/>
          <w:numId w:val="1001"/>
        </w:numPr>
      </w:pPr>
      <w:r>
        <w:t xml:space="preserve">metadatos y ocho resultados de aprendizaje;</w:t>
      </w:r>
    </w:p>
    <w:p>
      <w:pPr>
        <w:pStyle w:val="Compact"/>
        <w:numPr>
          <w:ilvl w:val="0"/>
          <w:numId w:val="1001"/>
        </w:numPr>
      </w:pPr>
      <w:r>
        <w:t xml:space="preserve">ocho subtemas teóricos;</w:t>
      </w:r>
    </w:p>
    <w:p>
      <w:pPr>
        <w:pStyle w:val="Compact"/>
        <w:numPr>
          <w:ilvl w:val="0"/>
          <w:numId w:val="1001"/>
        </w:numPr>
      </w:pPr>
      <w:r>
        <w:t xml:space="preserve">ocho demostraciones I Do;</w:t>
      </w:r>
    </w:p>
    <w:p>
      <w:pPr>
        <w:pStyle w:val="Compact"/>
        <w:numPr>
          <w:ilvl w:val="0"/>
          <w:numId w:val="1001"/>
        </w:numPr>
      </w:pPr>
      <w:r>
        <w:t xml:space="preserve">veinticuatro ejercicios We Do;</w:t>
      </w:r>
    </w:p>
    <w:p>
      <w:pPr>
        <w:pStyle w:val="Compact"/>
        <w:numPr>
          <w:ilvl w:val="0"/>
          <w:numId w:val="1001"/>
        </w:numPr>
      </w:pPr>
      <w:r>
        <w:t xml:space="preserve">proyecto You Do, starter y rúbrica;</w:t>
      </w:r>
    </w:p>
    <w:p>
      <w:pPr>
        <w:pStyle w:val="Compact"/>
        <w:numPr>
          <w:ilvl w:val="0"/>
          <w:numId w:val="1001"/>
        </w:numPr>
      </w:pPr>
      <w:r>
        <w:t xml:space="preserve">autocheck público;</w:t>
      </w:r>
    </w:p>
    <w:p>
      <w:pPr>
        <w:pStyle w:val="Compact"/>
        <w:numPr>
          <w:ilvl w:val="0"/>
          <w:numId w:val="1001"/>
        </w:numPr>
      </w:pPr>
      <w:r>
        <w:t xml:space="preserve">veinticuatro variantes del banco de examen;</w:t>
      </w:r>
    </w:p>
    <w:p>
      <w:pPr>
        <w:pStyle w:val="Compact"/>
        <w:numPr>
          <w:ilvl w:val="0"/>
          <w:numId w:val="1001"/>
        </w:numPr>
      </w:pPr>
      <w:r>
        <w:t xml:space="preserve">correspondencia con el roadmap, ledger, issue registry y renderer.</w:t>
      </w:r>
    </w:p>
    <w:p>
      <w:pPr>
        <w:pStyle w:val="FirstParagraph"/>
      </w:pPr>
      <w:r>
        <w:t xml:space="preserve">S40 cumple formalmente el contrato cuantitativo de ocho subtemas, ocho demos, veinticuatro ejercicios y veinticuatro variantes. El roadmap establece, además, que E1 debe ser guiado, E2 retirar apoyo y E3 exigir transferencia.</w:t>
      </w:r>
    </w:p>
    <w:p>
      <w:pPr>
        <w:pStyle w:val="BodyText"/>
      </w:pPr>
      <w:r>
        <w:t xml:space="preserve">El renderer confirma que la fuente se muestra directamente en las pestañas Teoría, I Do, We Do, You Do y Quiz.</w:t>
      </w:r>
    </w:p>
    <w:p>
      <w:pPr>
        <w:pStyle w:val="BodyText"/>
      </w:pPr>
      <w:r>
        <w:t xml:space="preserve">Los informes anteriores se utilizaron únicamente como referencia de estructura, no como evidencia sobre S40.</w:t>
      </w:r>
    </w:p>
    <w:bookmarkEnd w:id="20"/>
    <w:bookmarkStart w:id="22" w:name="executive-summary-of-quality"/>
    <w:p>
      <w:pPr>
        <w:pStyle w:val="Heading2"/>
      </w:pPr>
      <w:r>
        <w:t xml:space="preserve">2. Executive Summary of Quality</w:t>
      </w:r>
    </w:p>
    <w:bookmarkStart w:id="21" w:name="score-5.410"/>
    <w:p>
      <w:pPr>
        <w:pStyle w:val="Heading3"/>
      </w:pPr>
      <w:r>
        <w:rPr>
          <w:b/>
          <w:bCs/>
        </w:rPr>
        <w:t xml:space="preserve">Score: 5.4/10</w:t>
      </w:r>
    </w:p>
    <w:p>
      <w:pPr>
        <w:pStyle w:val="FirstParagraph"/>
      </w:pPr>
      <w:r>
        <w:rPr>
          <w:b/>
          <w:bCs/>
        </w:rPr>
        <w:t xml:space="preserve">Veredicto:</w:t>
      </w:r>
      <w:r>
        <w:t xml:space="preserve"> </w:t>
      </w:r>
      <w:r>
        <w:t xml:space="preserve">arquitectura curricular prometedora, pero aprendizaje de oficio insuficiente para nivel Máster.</w:t>
      </w:r>
    </w:p>
    <w:p>
      <w:pPr>
        <w:pStyle w:val="BodyText"/>
      </w:pPr>
      <w:r>
        <w:t xml:space="preserve">S40 tiene fortalezas claras:</w:t>
      </w:r>
    </w:p>
    <w:p>
      <w:pPr>
        <w:pStyle w:val="Compact"/>
        <w:numPr>
          <w:ilvl w:val="0"/>
          <w:numId w:val="1002"/>
        </w:numPr>
      </w:pPr>
      <w:r>
        <w:t xml:space="preserve">conecta correctamente S39 con la futura capa de servicios;</w:t>
      </w:r>
    </w:p>
    <w:p>
      <w:pPr>
        <w:pStyle w:val="Compact"/>
        <w:numPr>
          <w:ilvl w:val="0"/>
          <w:numId w:val="1002"/>
        </w:numPr>
      </w:pPr>
      <w:r>
        <w:t xml:space="preserve">insiste en datos sintéticos, revisión humana, ownership y rollback;</w:t>
      </w:r>
    </w:p>
    <w:p>
      <w:pPr>
        <w:pStyle w:val="Compact"/>
        <w:numPr>
          <w:ilvl w:val="0"/>
          <w:numId w:val="1002"/>
        </w:numPr>
      </w:pPr>
      <w:r>
        <w:t xml:space="preserve">incluye fuentes externas pertinentes;</w:t>
      </w:r>
    </w:p>
    <w:p>
      <w:pPr>
        <w:pStyle w:val="Compact"/>
        <w:numPr>
          <w:ilvl w:val="0"/>
          <w:numId w:val="1002"/>
        </w:numPr>
      </w:pPr>
      <w:r>
        <w:t xml:space="preserve">mantiene un caso narrativo estable;</w:t>
      </w:r>
    </w:p>
    <w:p>
      <w:pPr>
        <w:pStyle w:val="Compact"/>
        <w:numPr>
          <w:ilvl w:val="0"/>
          <w:numId w:val="1002"/>
        </w:numPr>
      </w:pPr>
      <w:r>
        <w:t xml:space="preserve">presenta un proyecto final razonablemente ambicioso;</w:t>
      </w:r>
    </w:p>
    <w:p>
      <w:pPr>
        <w:pStyle w:val="Compact"/>
        <w:numPr>
          <w:ilvl w:val="0"/>
          <w:numId w:val="1002"/>
        </w:numPr>
      </w:pPr>
      <w:r>
        <w:t xml:space="preserve">cumple los conteos del roadmap.</w:t>
      </w:r>
    </w:p>
    <w:p>
      <w:pPr>
        <w:pStyle w:val="FirstParagraph"/>
      </w:pPr>
      <w:r>
        <w:t xml:space="preserve">Sin embargo, el cumplimiento formal oculta una brecha central:</w:t>
      </w:r>
      <w:r>
        <w:t xml:space="preserve"> </w:t>
      </w:r>
      <w:r>
        <w:rPr>
          <w:b/>
          <w:bCs/>
        </w:rPr>
        <w:t xml:space="preserve">la sección enseña principalmente a reparar predicados booleanos sobre representaciones simplificadas de arquitectura, no a diseñar, justificar, diagramar y revisar arquitectura</w:t>
      </w:r>
      <w:r>
        <w:t xml:space="preserve">.</w:t>
      </w:r>
    </w:p>
    <w:p>
      <w:pPr>
        <w:pStyle w:val="BodyText"/>
      </w:pPr>
      <w:r>
        <w:t xml:space="preserve">Un estudiante puede superar gran parte de S40 dominando: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comparaciones de conjuntos;</w:t>
      </w:r>
    </w:p>
    <w:p>
      <w:pPr>
        <w:pStyle w:val="Compact"/>
        <w:numPr>
          <w:ilvl w:val="0"/>
          <w:numId w:val="1003"/>
        </w:numPr>
      </w:pPr>
      <w:r>
        <w:t xml:space="preserve">validación de claves;</w:t>
      </w:r>
    </w:p>
    <w:p>
      <w:pPr>
        <w:pStyle w:val="Compact"/>
        <w:numPr>
          <w:ilvl w:val="0"/>
          <w:numId w:val="1003"/>
        </w:numPr>
      </w:pPr>
      <w:r>
        <w:t xml:space="preserve">flags booleanos;</w:t>
      </w:r>
    </w:p>
    <w:p>
      <w:pPr>
        <w:pStyle w:val="Compact"/>
        <w:numPr>
          <w:ilvl w:val="0"/>
          <w:numId w:val="1003"/>
        </w:numPr>
      </w:pPr>
      <w:r>
        <w:t xml:space="preserve">ramas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salidas exactas como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BLOCK_*</w:t>
      </w:r>
      <w:r>
        <w:t xml:space="preserve">.</w:t>
      </w:r>
    </w:p>
    <w:p>
      <w:pPr>
        <w:pStyle w:val="FirstParagraph"/>
      </w:pPr>
      <w:r>
        <w:t xml:space="preserve">Eso no demuestra dominio de:</w:t>
      </w:r>
    </w:p>
    <w:p>
      <w:pPr>
        <w:pStyle w:val="Compact"/>
        <w:numPr>
          <w:ilvl w:val="0"/>
          <w:numId w:val="1004"/>
        </w:numPr>
      </w:pPr>
      <w:r>
        <w:t xml:space="preserve">entrevistas de quality attributes;</w:t>
      </w:r>
    </w:p>
    <w:p>
      <w:pPr>
        <w:pStyle w:val="Compact"/>
        <w:numPr>
          <w:ilvl w:val="0"/>
          <w:numId w:val="1004"/>
        </w:numPr>
      </w:pPr>
      <w:r>
        <w:t xml:space="preserve">análisis real de trade-offs;</w:t>
      </w:r>
    </w:p>
    <w:p>
      <w:pPr>
        <w:pStyle w:val="Compact"/>
        <w:numPr>
          <w:ilvl w:val="0"/>
          <w:numId w:val="1004"/>
        </w:numPr>
      </w:pPr>
      <w:r>
        <w:t xml:space="preserve">descubrimiento de bounded contexts;</w:t>
      </w:r>
    </w:p>
    <w:p>
      <w:pPr>
        <w:pStyle w:val="Compact"/>
        <w:numPr>
          <w:ilvl w:val="0"/>
          <w:numId w:val="1004"/>
        </w:numPr>
      </w:pPr>
      <w:r>
        <w:t xml:space="preserve">diseño de value objects;</w:t>
      </w:r>
    </w:p>
    <w:p>
      <w:pPr>
        <w:pStyle w:val="Compact"/>
        <w:numPr>
          <w:ilvl w:val="0"/>
          <w:numId w:val="1004"/>
        </w:numPr>
      </w:pPr>
      <w:r>
        <w:t xml:space="preserve">sustituibilidad de adapters;</w:t>
      </w:r>
    </w:p>
    <w:p>
      <w:pPr>
        <w:pStyle w:val="Compact"/>
        <w:numPr>
          <w:ilvl w:val="0"/>
          <w:numId w:val="1004"/>
        </w:numPr>
      </w:pPr>
      <w:r>
        <w:t xml:space="preserve">diagramación C4;</w:t>
      </w:r>
    </w:p>
    <w:p>
      <w:pPr>
        <w:pStyle w:val="Compact"/>
        <w:numPr>
          <w:ilvl w:val="0"/>
          <w:numId w:val="1004"/>
        </w:numPr>
      </w:pPr>
      <w:r>
        <w:t xml:space="preserve">escritura y defensa de ADRs;</w:t>
      </w:r>
    </w:p>
    <w:p>
      <w:pPr>
        <w:pStyle w:val="Compact"/>
        <w:numPr>
          <w:ilvl w:val="0"/>
          <w:numId w:val="1004"/>
        </w:numPr>
      </w:pPr>
      <w:r>
        <w:t xml:space="preserve">evaluación semántica de compatibilidad.</w:t>
      </w:r>
    </w:p>
    <w:p>
      <w:pPr>
        <w:pStyle w:val="FirstParagraph"/>
      </w:pPr>
      <w:r>
        <w:t xml:space="preserve">El problema conceptual más grave aparece en bounded contexts: la sección exige glosarios disjuntos y trata cualquier término compartido como un defecto. Distintos bounded contexts pueden compartir términos con modelos o significados locales diferentes; lo necesario es explicitar esas diferencias y sus mappings. La propia evaluación de S40 contradice al laboratorio al reconocer que un mismo término puede existir en contextos distintos.</w:t>
      </w:r>
    </w:p>
    <w:bookmarkEnd w:id="21"/>
    <w:bookmarkEnd w:id="22"/>
    <w:bookmarkStart w:id="41" w:name="detailed-issue-registry"/>
    <w:p>
      <w:pPr>
        <w:pStyle w:val="Heading2"/>
      </w:pPr>
      <w:r>
        <w:t xml:space="preserve">3. Detailed Issue Registry</w:t>
      </w:r>
    </w:p>
    <w:bookmarkStart w:id="23" w:name="X863754c7c7d53a0fffc7430c0bfac08b5a8de6f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Critical — Regla incorrecta sobre bounded contexts</w:t>
      </w:r>
    </w:p>
    <w:p>
      <w:pPr>
        <w:pStyle w:val="FirstParagraph"/>
      </w:pPr>
      <w:r>
        <w:rPr>
          <w:b/>
          <w:bCs/>
        </w:rPr>
        <w:t xml:space="preserve">Evidencia:</w:t>
      </w:r>
      <w:r>
        <w:t xml:space="preserve"> </w:t>
      </w:r>
      <w:r>
        <w:t xml:space="preserve">“Salida: glosarios disjuntos más al menos una traducción explícita”</w:t>
      </w:r>
      <w:r>
        <w:t xml:space="preserve">, implementado mediante</w:t>
      </w:r>
      <w:r>
        <w:t xml:space="preserve"> </w:t>
      </w:r>
      <w:r>
        <w:rPr>
          <w:rStyle w:val="VerbatimChar"/>
        </w:rPr>
        <w:t xml:space="preserve">isdisjoint()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enseña que strategic DDD consiste en eliminar términos compartidos, en vez de delimitar significados, invariantes, ownership y traducciones.</w:t>
      </w:r>
    </w:p>
    <w:p>
      <w:pPr>
        <w:pStyle w:val="BodyText"/>
      </w:pPr>
      <w:r>
        <w:rPr>
          <w:b/>
          <w:bCs/>
        </w:rPr>
        <w:t xml:space="preserve">Contradicción interna:</w:t>
      </w:r>
      <w:r>
        <w:t xml:space="preserve"> </w:t>
      </w:r>
      <w:r>
        <w:t xml:space="preserve">el examen reconoce correctamente que el mismo término puede aparecer en distintos bounded contexts.</w:t>
      </w:r>
    </w:p>
    <w:p>
      <w:r>
        <w:pict>
          <v:rect style="width:0;height:1.5pt" o:hralign="center" o:hrstd="t" o:hr="t"/>
        </w:pict>
      </w:r>
    </w:p>
    <w:bookmarkEnd w:id="23"/>
    <w:bookmarkStart w:id="24" w:name="X6f5b628981d66ad8aaf70a8323da6e070eb68dd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High — El I Do no modela razonamiento arquitectónico</w:t>
      </w:r>
    </w:p>
    <w:p>
      <w:pPr>
        <w:pStyle w:val="FirstParagraph"/>
      </w:pPr>
      <w:r>
        <w:t xml:space="preserve">Las demos calculan contratos predeterminados, pero rara vez muestran:</w:t>
      </w:r>
    </w:p>
    <w:p>
      <w:pPr>
        <w:pStyle w:val="Compact"/>
        <w:numPr>
          <w:ilvl w:val="0"/>
          <w:numId w:val="1005"/>
        </w:numPr>
      </w:pPr>
      <w:r>
        <w:t xml:space="preserve">cómo se elicitan drivers;</w:t>
      </w:r>
    </w:p>
    <w:p>
      <w:pPr>
        <w:pStyle w:val="Compact"/>
        <w:numPr>
          <w:ilvl w:val="0"/>
          <w:numId w:val="1005"/>
        </w:numPr>
      </w:pPr>
      <w:r>
        <w:t xml:space="preserve">cómo se identifican stakeholders;</w:t>
      </w:r>
    </w:p>
    <w:p>
      <w:pPr>
        <w:pStyle w:val="Compact"/>
        <w:numPr>
          <w:ilvl w:val="0"/>
          <w:numId w:val="1005"/>
        </w:numPr>
      </w:pPr>
      <w:r>
        <w:t xml:space="preserve">por qué se seleccionan criterios;</w:t>
      </w:r>
    </w:p>
    <w:p>
      <w:pPr>
        <w:pStyle w:val="Compact"/>
        <w:numPr>
          <w:ilvl w:val="0"/>
          <w:numId w:val="1005"/>
        </w:numPr>
      </w:pPr>
      <w:r>
        <w:t xml:space="preserve">cómo se descartan alternativas;</w:t>
      </w:r>
    </w:p>
    <w:p>
      <w:pPr>
        <w:pStyle w:val="Compact"/>
        <w:numPr>
          <w:ilvl w:val="0"/>
          <w:numId w:val="1005"/>
        </w:numPr>
      </w:pPr>
      <w:r>
        <w:t xml:space="preserve">cómo se revisa críticamente un diagrama o ADR.</w:t>
      </w:r>
    </w:p>
    <w:p>
      <w:pPr>
        <w:pStyle w:val="FirstParagraph"/>
      </w:pPr>
      <w:r>
        <w:t xml:space="preserve">El renderer promete una demostración paso a paso centrada en</w:t>
      </w:r>
      <w:r>
        <w:t xml:space="preserve"> </w:t>
      </w:r>
      <w:r>
        <w:t xml:space="preserve">“el porqué”</w:t>
      </w:r>
      <w:r>
        <w:t xml:space="preserve">, pero S40 ofrece principalmente scripts terminados y explicaciones posteriores.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el conocimiento experto permanece implícito. El alumno ve el resultado, pero no observa el proceso de arquitectura.</w:t>
      </w:r>
    </w:p>
    <w:p>
      <w:r>
        <w:pict>
          <v:rect style="width:0;height:1.5pt" o:hralign="center" o:hrstd="t" o:hr="t"/>
        </w:pict>
      </w:r>
    </w:p>
    <w:bookmarkEnd w:id="24"/>
    <w:bookmarkStart w:id="25" w:name="high-monocultura-de-ejercicio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High — Monocultura de ejercicios</w:t>
      </w:r>
    </w:p>
    <w:p>
      <w:pPr>
        <w:pStyle w:val="FirstParagraph"/>
      </w:pPr>
      <w:r>
        <w:t xml:space="preserve">Los veinticuatro ejercicios siguen casi la misma plantilla:</w:t>
      </w:r>
    </w:p>
    <w:p>
      <w:pPr>
        <w:pStyle w:val="Compact"/>
        <w:numPr>
          <w:ilvl w:val="0"/>
          <w:numId w:val="1006"/>
        </w:numPr>
      </w:pPr>
      <w:r>
        <w:t xml:space="preserve">starter con predicado invertido;</w:t>
      </w:r>
    </w:p>
    <w:p>
      <w:pPr>
        <w:pStyle w:val="Compact"/>
        <w:numPr>
          <w:ilvl w:val="0"/>
          <w:numId w:val="1006"/>
        </w:numPr>
      </w:pPr>
      <w:r>
        <w:t xml:space="preserve">fixture válido;</w:t>
      </w:r>
    </w:p>
    <w:p>
      <w:pPr>
        <w:pStyle w:val="Compact"/>
        <w:numPr>
          <w:ilvl w:val="0"/>
          <w:numId w:val="1006"/>
        </w:numPr>
      </w:pPr>
      <w:r>
        <w:t xml:space="preserve">fixture adverso;</w:t>
      </w:r>
    </w:p>
    <w:p>
      <w:pPr>
        <w:pStyle w:val="Compact"/>
        <w:numPr>
          <w:ilvl w:val="0"/>
          <w:numId w:val="1006"/>
        </w:numPr>
      </w:pPr>
      <w:r>
        <w:t xml:space="preserve">campo ausente;</w:t>
      </w:r>
    </w:p>
    <w:p>
      <w:pPr>
        <w:pStyle w:val="Compact"/>
        <w:numPr>
          <w:ilvl w:val="0"/>
          <w:numId w:val="1006"/>
        </w:numPr>
      </w:pPr>
      <w:r>
        <w:t xml:space="preserve">salidas exactas;</w:t>
      </w:r>
    </w:p>
    <w:p>
      <w:pPr>
        <w:pStyle w:val="Compact"/>
        <w:numPr>
          <w:ilvl w:val="0"/>
          <w:numId w:val="1006"/>
        </w:numPr>
      </w:pPr>
      <w:r>
        <w:t xml:space="preserve">solución que corrige una condición.</w:t>
      </w:r>
    </w:p>
    <w:p>
      <w:pPr>
        <w:pStyle w:val="FirstParagraph"/>
      </w:pPr>
      <w:r>
        <w:t xml:space="preserve">Ejemplos de esta estructura aparecen en quality attributes, trade-offs, capas, ports/adapters, DDD táctico, ADRs y compatibilidad.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E2 y E3 cambian etiquetas y fixtures, pero no elevan sustancialmente la demanda cognitiva.</w:t>
      </w:r>
      <w:r>
        <w:t xml:space="preserve"> </w:t>
      </w:r>
      <w:r>
        <w:t xml:space="preserve">“Transferencia”</w:t>
      </w:r>
      <w:r>
        <w:t xml:space="preserve"> </w:t>
      </w:r>
      <w:r>
        <w:t xml:space="preserve">termina significando reutilizar el mismo predicado con otra salida.</w:t>
      </w:r>
    </w:p>
    <w:p>
      <w:r>
        <w:pict>
          <v:rect style="width:0;height:1.5pt" o:hralign="center" o:hrstd="t" o:hr="t"/>
        </w:pict>
      </w:r>
    </w:p>
    <w:bookmarkEnd w:id="25"/>
    <w:bookmarkStart w:id="26" w:name="X4d2bcd95e42147df3af3890b10a5911f140c80a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High — Value object mutable presentado como inmutable</w:t>
      </w:r>
    </w:p>
    <w:p>
      <w:pPr>
        <w:pStyle w:val="FirstParagraph"/>
      </w:pPr>
      <w:r>
        <w:t xml:space="preserve">El material representa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como: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 luego imprime o comprueba:</w:t>
      </w:r>
    </w:p>
    <w:p>
      <w:pPr>
        <w:pStyle w:val="SourceCode"/>
      </w:pPr>
      <w:r>
        <w:rPr>
          <w:rStyle w:val="NormalTok"/>
        </w:rPr>
        <w:t xml:space="preserve">vo_frozen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El diccionario sigue siendo mutable; el flag no impone ninguna restricción.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el alumno puede creer que declarar una propiedad booleana convierte una estructura mutable en value object inmutable.</w:t>
      </w:r>
    </w:p>
    <w:p>
      <w:r>
        <w:pict>
          <v:rect style="width:0;height:1.5pt" o:hralign="center" o:hrstd="t" o:hr="t"/>
        </w:pict>
      </w:r>
    </w:p>
    <w:bookmarkEnd w:id="26"/>
    <w:bookmarkStart w:id="27" w:name="X2139f8c0729d47db1298d64261722b703e46683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High — Ports/adapters se valida mediante autodeclaración</w:t>
      </w:r>
    </w:p>
    <w:p>
      <w:pPr>
        <w:pStyle w:val="FirstParagraph"/>
      </w:pPr>
      <w:r>
        <w:t xml:space="preserve">El supuesto contrato hexagonal depende de:</w:t>
      </w:r>
    </w:p>
    <w:p>
      <w:pPr>
        <w:pStyle w:val="SourceCode"/>
      </w:pPr>
      <w:r>
        <w:rPr>
          <w:rStyle w:val="NormalTok"/>
        </w:rPr>
        <w:t xml:space="preserve">implements_port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domain_imports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contract_tests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No se ejecutan contract tests ni se sustituye realmente un adapter por otro.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confunde metadata declarativa con evidencia de dependencia invertida y sustituibilidad.</w:t>
      </w:r>
    </w:p>
    <w:p>
      <w:r>
        <w:pict>
          <v:rect style="width:0;height:1.5pt" o:hralign="center" o:hrstd="t" o:hr="t"/>
        </w:pict>
      </w:r>
    </w:p>
    <w:bookmarkEnd w:id="27"/>
    <w:bookmarkStart w:id="28" w:name="high-c4-reducido-a-listas-de-nombres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High — C4 reducido a listas de nombres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“diagrama”</w:t>
      </w:r>
      <w:r>
        <w:t xml:space="preserve"> </w:t>
      </w:r>
      <w:r>
        <w:t xml:space="preserve">se representa como:</w:t>
      </w:r>
    </w:p>
    <w:p>
      <w:pPr>
        <w:pStyle w:val="SourceCode"/>
      </w:pPr>
      <w:r>
        <w:rPr>
          <w:rStyle w:val="NormalTok"/>
        </w:rPr>
        <w:t xml:space="preserve">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"container"</w:t>
      </w:r>
      <w:r>
        <w:rPr>
          <w:rStyle w:val="NormalTok"/>
        </w:rPr>
        <w:t xml:space="preserve">: [...]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Faltan:</w:t>
      </w:r>
    </w:p>
    <w:p>
      <w:pPr>
        <w:pStyle w:val="Compact"/>
        <w:numPr>
          <w:ilvl w:val="0"/>
          <w:numId w:val="1007"/>
        </w:numPr>
      </w:pPr>
      <w:r>
        <w:t xml:space="preserve">relaciones;</w:t>
      </w:r>
    </w:p>
    <w:p>
      <w:pPr>
        <w:pStyle w:val="Compact"/>
        <w:numPr>
          <w:ilvl w:val="0"/>
          <w:numId w:val="1007"/>
        </w:numPr>
      </w:pPr>
      <w:r>
        <w:t xml:space="preserve">direcciones;</w:t>
      </w:r>
    </w:p>
    <w:p>
      <w:pPr>
        <w:pStyle w:val="Compact"/>
        <w:numPr>
          <w:ilvl w:val="0"/>
          <w:numId w:val="1007"/>
        </w:numPr>
      </w:pPr>
      <w:r>
        <w:t xml:space="preserve">responsabilidades;</w:t>
      </w:r>
    </w:p>
    <w:p>
      <w:pPr>
        <w:pStyle w:val="Compact"/>
        <w:numPr>
          <w:ilvl w:val="0"/>
          <w:numId w:val="1007"/>
        </w:numPr>
      </w:pPr>
      <w:r>
        <w:t xml:space="preserve">tecnologías;</w:t>
      </w:r>
    </w:p>
    <w:p>
      <w:pPr>
        <w:pStyle w:val="Compact"/>
        <w:numPr>
          <w:ilvl w:val="0"/>
          <w:numId w:val="1007"/>
        </w:numPr>
      </w:pPr>
      <w:r>
        <w:t xml:space="preserve">límites de sistema;</w:t>
      </w:r>
    </w:p>
    <w:p>
      <w:pPr>
        <w:pStyle w:val="Compact"/>
        <w:numPr>
          <w:ilvl w:val="0"/>
          <w:numId w:val="1007"/>
        </w:numPr>
      </w:pPr>
      <w:r>
        <w:t xml:space="preserve">protocolos;</w:t>
      </w:r>
    </w:p>
    <w:p>
      <w:pPr>
        <w:pStyle w:val="Compact"/>
        <w:numPr>
          <w:ilvl w:val="0"/>
          <w:numId w:val="1007"/>
        </w:numPr>
      </w:pPr>
      <w:r>
        <w:t xml:space="preserve">leyenda;</w:t>
      </w:r>
    </w:p>
    <w:p>
      <w:pPr>
        <w:pStyle w:val="Compact"/>
        <w:numPr>
          <w:ilvl w:val="0"/>
          <w:numId w:val="1007"/>
        </w:numPr>
      </w:pPr>
      <w:r>
        <w:t xml:space="preserve">justificación del nivel de abstracción.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el estudiante valida inventarios de cajas, no comunicación arquitectónica.</w:t>
      </w:r>
    </w:p>
    <w:p>
      <w:r>
        <w:pict>
          <v:rect style="width:0;height:1.5pt" o:hralign="center" o:hrstd="t" o:hr="t"/>
        </w:pict>
      </w:r>
    </w:p>
    <w:bookmarkEnd w:id="28"/>
    <w:bookmarkStart w:id="29" w:name="X5695d262fd974a97b8bec5b9b6a5f9d39ac9a50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High — ADR aprobado por presencia de campos</w:t>
      </w:r>
    </w:p>
    <w:p>
      <w:pPr>
        <w:pStyle w:val="FirstParagraph"/>
      </w:pPr>
      <w:r>
        <w:t xml:space="preserve">El gate comprueba que existan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alternatives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consequences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status == accepted</w:t>
      </w:r>
      <w:r>
        <w:t xml:space="preserve">.</w:t>
      </w:r>
    </w:p>
    <w:p>
      <w:pPr>
        <w:pStyle w:val="BodyText"/>
      </w:pPr>
      <w:r>
        <w:t xml:space="preserve">No comprueba:</w:t>
      </w:r>
    </w:p>
    <w:p>
      <w:pPr>
        <w:pStyle w:val="Compact"/>
        <w:numPr>
          <w:ilvl w:val="0"/>
          <w:numId w:val="1008"/>
        </w:numPr>
      </w:pPr>
      <w:r>
        <w:t xml:space="preserve">calidad del contexto;</w:t>
      </w:r>
    </w:p>
    <w:p>
      <w:pPr>
        <w:pStyle w:val="Compact"/>
        <w:numPr>
          <w:ilvl w:val="0"/>
          <w:numId w:val="1008"/>
        </w:numPr>
      </w:pPr>
      <w:r>
        <w:t xml:space="preserve">relación con drivers;</w:t>
      </w:r>
    </w:p>
    <w:p>
      <w:pPr>
        <w:pStyle w:val="Compact"/>
        <w:numPr>
          <w:ilvl w:val="0"/>
          <w:numId w:val="1008"/>
        </w:numPr>
      </w:pPr>
      <w:r>
        <w:t xml:space="preserve">comparabilidad de alternativas;</w:t>
      </w:r>
    </w:p>
    <w:p>
      <w:pPr>
        <w:pStyle w:val="Compact"/>
        <w:numPr>
          <w:ilvl w:val="0"/>
          <w:numId w:val="1008"/>
        </w:numPr>
      </w:pPr>
      <w:r>
        <w:t xml:space="preserve">consecuencias positivas y negativas;</w:t>
      </w:r>
    </w:p>
    <w:p>
      <w:pPr>
        <w:pStyle w:val="Compact"/>
        <w:numPr>
          <w:ilvl w:val="0"/>
          <w:numId w:val="1008"/>
        </w:numPr>
      </w:pPr>
      <w:r>
        <w:t xml:space="preserve">owner real;</w:t>
      </w:r>
    </w:p>
    <w:p>
      <w:pPr>
        <w:pStyle w:val="Compact"/>
        <w:numPr>
          <w:ilvl w:val="0"/>
          <w:numId w:val="1008"/>
        </w:numPr>
      </w:pPr>
      <w:r>
        <w:t xml:space="preserve">fecha;</w:t>
      </w:r>
    </w:p>
    <w:p>
      <w:pPr>
        <w:pStyle w:val="Compact"/>
        <w:numPr>
          <w:ilvl w:val="0"/>
          <w:numId w:val="1008"/>
        </w:numPr>
      </w:pPr>
      <w:r>
        <w:t xml:space="preserve">supersession;</w:t>
      </w:r>
    </w:p>
    <w:p>
      <w:pPr>
        <w:pStyle w:val="Compact"/>
        <w:numPr>
          <w:ilvl w:val="0"/>
          <w:numId w:val="1008"/>
        </w:numPr>
      </w:pPr>
      <w:r>
        <w:t xml:space="preserve">evidencia que activaría rollback;</w:t>
      </w:r>
    </w:p>
    <w:p>
      <w:pPr>
        <w:pStyle w:val="Compact"/>
        <w:numPr>
          <w:ilvl w:val="0"/>
          <w:numId w:val="1008"/>
        </w:numPr>
      </w:pPr>
      <w:r>
        <w:t xml:space="preserve">coherencia con C4 y contratos.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un ADR superficial puede aprobar siempre que sus campos sean truthy.</w:t>
      </w:r>
    </w:p>
    <w:p>
      <w:r>
        <w:pict>
          <v:rect style="width:0;height:1.5pt" o:hralign="center" o:hrstd="t" o:hr="t"/>
        </w:pict>
      </w:r>
    </w:p>
    <w:bookmarkEnd w:id="29"/>
    <w:bookmarkStart w:id="30" w:name="X3badd05d061df55bb1c80dd0756a19d80f45ed4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High — Quality-attribute scenario incompleto</w:t>
      </w:r>
    </w:p>
    <w:p>
      <w:pPr>
        <w:pStyle w:val="FirstParagraph"/>
      </w:pPr>
      <w:r>
        <w:t xml:space="preserve">La teoría enumera source, stimulus, environment, response, target y owner, pero el validador fusiona:</w:t>
      </w:r>
    </w:p>
    <w:p>
      <w:pPr>
        <w:pStyle w:val="Compact"/>
        <w:numPr>
          <w:ilvl w:val="0"/>
          <w:numId w:val="1009"/>
        </w:numPr>
      </w:pPr>
      <w:r>
        <w:t xml:space="preserve">definición del escenario;</w:t>
      </w:r>
    </w:p>
    <w:p>
      <w:pPr>
        <w:pStyle w:val="Compact"/>
        <w:numPr>
          <w:ilvl w:val="0"/>
          <w:numId w:val="1009"/>
        </w:numPr>
      </w:pPr>
      <w:r>
        <w:t xml:space="preserve">observación de ejecución;</w:t>
      </w:r>
    </w:p>
    <w:p>
      <w:pPr>
        <w:pStyle w:val="Compact"/>
        <w:numPr>
          <w:ilvl w:val="0"/>
          <w:numId w:val="1009"/>
        </w:numPr>
      </w:pPr>
      <w:r>
        <w:t xml:space="preserve">criterio de aceptación;</w:t>
      </w:r>
    </w:p>
    <w:p>
      <w:pPr>
        <w:pStyle w:val="Compact"/>
        <w:numPr>
          <w:ilvl w:val="0"/>
          <w:numId w:val="1009"/>
        </w:numPr>
      </w:pPr>
      <w:r>
        <w:t xml:space="preserve">ownership.</w:t>
      </w:r>
    </w:p>
    <w:p>
      <w:pPr>
        <w:pStyle w:val="FirstParagraph"/>
      </w:pPr>
      <w:r>
        <w:t xml:space="preserve">Además, usa un valor enorme por defecto cuando falta</w:t>
      </w:r>
      <w:r>
        <w:t xml:space="preserve"> </w:t>
      </w:r>
      <w:r>
        <w:rPr>
          <w:rStyle w:val="VerbatimChar"/>
        </w:rPr>
        <w:t xml:space="preserve">observed_ms</w:t>
      </w:r>
      <w:r>
        <w:t xml:space="preserve">, clasificando evidencia ausente como breach en vez de incertidumbre estructurada.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el alumno no distingue entre especificar una calidad, medirla y gobernar la aceptación del resultado.</w:t>
      </w:r>
    </w:p>
    <w:p>
      <w:r>
        <w:pict>
          <v:rect style="width:0;height:1.5pt" o:hralign="center" o:hrstd="t" o:hr="t"/>
        </w:pict>
      </w:r>
    </w:p>
    <w:bookmarkEnd w:id="30"/>
    <w:bookmarkStart w:id="31" w:name="high-banco-de-examen-predecible"/>
    <w:p>
      <w:pPr>
        <w:pStyle w:val="Heading3"/>
      </w:pPr>
      <w:r>
        <w:t xml:space="preserve">9.</w:t>
      </w:r>
      <w:r>
        <w:t xml:space="preserve"> </w:t>
      </w:r>
      <w:r>
        <w:rPr>
          <w:b/>
          <w:bCs/>
        </w:rPr>
        <w:t xml:space="preserve">High — Banco de examen predecible</w:t>
      </w:r>
    </w:p>
    <w:p>
      <w:pPr>
        <w:pStyle w:val="FirstParagraph"/>
      </w:pPr>
      <w:r>
        <w:t xml:space="preserve">Las veinticuatro preguntas almacenadas para S40 colocan sistemáticamente la respuesta correcta en el índice 1. Muchos distractores son caricaturescos: logos, colores, secretos, moda o afirmaciones obviamente absurdas.</w:t>
      </w:r>
    </w:p>
    <w:p>
      <w:pPr>
        <w:pStyle w:val="BodyText"/>
      </w:pPr>
      <w:r>
        <w:rPr>
          <w:b/>
          <w:bCs/>
        </w:rPr>
        <w:t xml:space="preserve">Impacto:</w:t>
      </w:r>
    </w:p>
    <w:p>
      <w:pPr>
        <w:pStyle w:val="Compact"/>
        <w:numPr>
          <w:ilvl w:val="0"/>
          <w:numId w:val="1010"/>
        </w:numPr>
      </w:pPr>
      <w:r>
        <w:t xml:space="preserve">facilita responder por patrón;</w:t>
      </w:r>
    </w:p>
    <w:p>
      <w:pPr>
        <w:pStyle w:val="Compact"/>
        <w:numPr>
          <w:ilvl w:val="0"/>
          <w:numId w:val="1010"/>
        </w:numPr>
      </w:pPr>
      <w:r>
        <w:t xml:space="preserve">reduce discriminación entre comprensión y reconocimiento;</w:t>
      </w:r>
    </w:p>
    <w:p>
      <w:pPr>
        <w:pStyle w:val="Compact"/>
        <w:numPr>
          <w:ilvl w:val="0"/>
          <w:numId w:val="1010"/>
        </w:numPr>
      </w:pPr>
      <w:r>
        <w:t xml:space="preserve">debilita la equivalencia A/B/C;</w:t>
      </w:r>
    </w:p>
    <w:p>
      <w:pPr>
        <w:pStyle w:val="Compact"/>
        <w:numPr>
          <w:ilvl w:val="0"/>
          <w:numId w:val="1010"/>
        </w:numPr>
      </w:pPr>
      <w:r>
        <w:t xml:space="preserve">mide alfabetización básica, no juicio arquitectónico.</w:t>
      </w:r>
    </w:p>
    <w:p>
      <w:r>
        <w:pict>
          <v:rect style="width:0;height:1.5pt" o:hralign="center" o:hrstd="t" o:hr="t"/>
        </w:pict>
      </w:r>
    </w:p>
    <w:bookmarkEnd w:id="31"/>
    <w:bookmarkStart w:id="32" w:name="X72890017c7ec974ad0caac3efec41575ea2e91b"/>
    <w:p>
      <w:pPr>
        <w:pStyle w:val="Heading3"/>
      </w:pPr>
      <w:r>
        <w:t xml:space="preserve">10.</w:t>
      </w:r>
      <w:r>
        <w:t xml:space="preserve"> </w:t>
      </w:r>
      <w:r>
        <w:rPr>
          <w:b/>
          <w:bCs/>
        </w:rPr>
        <w:t xml:space="preserve">High — Gate You Do basado en flags manuales</w:t>
      </w:r>
    </w:p>
    <w:p>
      <w:pPr>
        <w:pStyle w:val="FirstParagraph"/>
      </w:pPr>
      <w:r>
        <w:t xml:space="preserve">El proyecto define:</w:t>
      </w:r>
    </w:p>
    <w:p>
      <w:pPr>
        <w:pStyle w:val="SourceCode"/>
      </w:pPr>
      <w:r>
        <w:rPr>
          <w:rStyle w:val="NormalTok"/>
        </w:rPr>
        <w:t xml:space="preserve">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"qa_scenarios"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"context_map"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"c4_context_container"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"adrs_x2"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 luego indica al estudiante que cambie los flags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cuando considere completos los artefactos.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el starter no inspecciona archivos, diagramas, ADRs ni pruebas. El gate puede aprobarse manipulando cuatro booleanos.</w:t>
      </w:r>
    </w:p>
    <w:p>
      <w:r>
        <w:pict>
          <v:rect style="width:0;height:1.5pt" o:hralign="center" o:hrstd="t" o:hr="t"/>
        </w:pict>
      </w:r>
    </w:p>
    <w:bookmarkEnd w:id="32"/>
    <w:bookmarkStart w:id="33" w:name="X486f45ce0d0dc7b7a2fbed15ed4f48d157fc0c9"/>
    <w:p>
      <w:pPr>
        <w:pStyle w:val="Heading3"/>
      </w:pPr>
      <w:r>
        <w:t xml:space="preserve">11.</w:t>
      </w:r>
      <w:r>
        <w:t xml:space="preserve"> </w:t>
      </w:r>
      <w:r>
        <w:rPr>
          <w:b/>
          <w:bCs/>
        </w:rPr>
        <w:t xml:space="preserve">Medium-High — Trade-off ponderado sin trazabilidad</w:t>
      </w:r>
    </w:p>
    <w:p>
      <w:pPr>
        <w:pStyle w:val="FirstParagraph"/>
      </w:pPr>
      <w:r>
        <w:t xml:space="preserve">La sección presenta scores como</w:t>
      </w:r>
      <w:r>
        <w:t xml:space="preserve"> </w:t>
      </w:r>
      <w:r>
        <w:rPr>
          <w:rStyle w:val="VerbatimChar"/>
        </w:rPr>
        <w:t xml:space="preserve">sync=3.8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async=2.2</w:t>
      </w:r>
      <w:r>
        <w:t xml:space="preserve">, pero no deriva esos números desde:</w:t>
      </w:r>
    </w:p>
    <w:p>
      <w:pPr>
        <w:pStyle w:val="Compact"/>
        <w:numPr>
          <w:ilvl w:val="0"/>
          <w:numId w:val="1011"/>
        </w:numPr>
      </w:pPr>
      <w:r>
        <w:t xml:space="preserve">criterios;</w:t>
      </w:r>
    </w:p>
    <w:p>
      <w:pPr>
        <w:pStyle w:val="Compact"/>
        <w:numPr>
          <w:ilvl w:val="0"/>
          <w:numId w:val="1011"/>
        </w:numPr>
      </w:pPr>
      <w:r>
        <w:t xml:space="preserve">pesos;</w:t>
      </w:r>
    </w:p>
    <w:p>
      <w:pPr>
        <w:pStyle w:val="Compact"/>
        <w:numPr>
          <w:ilvl w:val="0"/>
          <w:numId w:val="1011"/>
        </w:numPr>
      </w:pPr>
      <w:r>
        <w:t xml:space="preserve">escalas;</w:t>
      </w:r>
    </w:p>
    <w:p>
      <w:pPr>
        <w:pStyle w:val="Compact"/>
        <w:numPr>
          <w:ilvl w:val="0"/>
          <w:numId w:val="1011"/>
        </w:numPr>
      </w:pPr>
      <w:r>
        <w:t xml:space="preserve">evidencia;</w:t>
      </w:r>
    </w:p>
    <w:p>
      <w:pPr>
        <w:pStyle w:val="Compact"/>
        <w:numPr>
          <w:ilvl w:val="0"/>
          <w:numId w:val="1011"/>
        </w:numPr>
      </w:pPr>
      <w:r>
        <w:t xml:space="preserve">sensibilidad;</w:t>
      </w:r>
    </w:p>
    <w:p>
      <w:pPr>
        <w:pStyle w:val="Compact"/>
        <w:numPr>
          <w:ilvl w:val="0"/>
          <w:numId w:val="1011"/>
        </w:numPr>
      </w:pPr>
      <w:r>
        <w:t xml:space="preserve">incertidumbre;</w:t>
      </w:r>
    </w:p>
    <w:p>
      <w:pPr>
        <w:pStyle w:val="Compact"/>
        <w:numPr>
          <w:ilvl w:val="0"/>
          <w:numId w:val="1011"/>
        </w:numPr>
      </w:pPr>
      <w:r>
        <w:t xml:space="preserve">stakeholders.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el alumno aprende a seleccionar el menor número, no a construir o defender la comparación.</w:t>
      </w:r>
    </w:p>
    <w:p>
      <w:r>
        <w:pict>
          <v:rect style="width:0;height:1.5pt" o:hralign="center" o:hrstd="t" o:hr="t"/>
        </w:pict>
      </w:r>
    </w:p>
    <w:bookmarkEnd w:id="33"/>
    <w:bookmarkStart w:id="34" w:name="X0f778efcf275f23a250c0194034cc18497e5e6b"/>
    <w:p>
      <w:pPr>
        <w:pStyle w:val="Heading3"/>
      </w:pPr>
      <w:r>
        <w:t xml:space="preserve">12.</w:t>
      </w:r>
      <w:r>
        <w:t xml:space="preserve"> </w:t>
      </w:r>
      <w:r>
        <w:rPr>
          <w:b/>
          <w:bCs/>
        </w:rPr>
        <w:t xml:space="preserve">Medium-High — Validador de capas excesivamente superficial</w:t>
      </w:r>
    </w:p>
    <w:p>
      <w:pPr>
        <w:pStyle w:val="FirstParagraph"/>
      </w:pPr>
      <w:r>
        <w:t xml:space="preserve">Solo prohíbe dos aristas exactas: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"infrastructure"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"presentation"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"infrastructure"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y verifica que</w:t>
      </w:r>
      <w:r>
        <w:t xml:space="preserve"> </w:t>
      </w:r>
      <w:r>
        <w:rPr>
          <w:rStyle w:val="VerbatimChar"/>
        </w:rPr>
        <w:t xml:space="preserve">layers[2] == "domain"</w:t>
      </w:r>
      <w:r>
        <w:t xml:space="preserve">.</w:t>
      </w:r>
    </w:p>
    <w:p>
      <w:pPr>
        <w:pStyle w:val="BodyText"/>
      </w:pPr>
      <w:r>
        <w:t xml:space="preserve">No detecta:</w:t>
      </w:r>
    </w:p>
    <w:p>
      <w:pPr>
        <w:pStyle w:val="Compact"/>
        <w:numPr>
          <w:ilvl w:val="0"/>
          <w:numId w:val="1012"/>
        </w:numPr>
      </w:pPr>
      <w:r>
        <w:t xml:space="preserve">ciclos;</w:t>
      </w:r>
    </w:p>
    <w:p>
      <w:pPr>
        <w:pStyle w:val="Compact"/>
        <w:numPr>
          <w:ilvl w:val="0"/>
          <w:numId w:val="1012"/>
        </w:numPr>
      </w:pPr>
      <w:r>
        <w:t xml:space="preserve">dependencias transitivas;</w:t>
      </w:r>
    </w:p>
    <w:p>
      <w:pPr>
        <w:pStyle w:val="Compact"/>
        <w:numPr>
          <w:ilvl w:val="0"/>
          <w:numId w:val="1012"/>
        </w:numPr>
      </w:pPr>
      <w:r>
        <w:t xml:space="preserve">omisión de application;</w:t>
      </w:r>
    </w:p>
    <w:p>
      <w:pPr>
        <w:pStyle w:val="Compact"/>
        <w:numPr>
          <w:ilvl w:val="0"/>
          <w:numId w:val="1012"/>
        </w:numPr>
      </w:pPr>
      <w:r>
        <w:t xml:space="preserve">domain→presentation;</w:t>
      </w:r>
    </w:p>
    <w:p>
      <w:pPr>
        <w:pStyle w:val="Compact"/>
        <w:numPr>
          <w:ilvl w:val="0"/>
          <w:numId w:val="1012"/>
        </w:numPr>
      </w:pPr>
      <w:r>
        <w:t xml:space="preserve">adapters mal ubicados;</w:t>
      </w:r>
    </w:p>
    <w:p>
      <w:pPr>
        <w:pStyle w:val="Compact"/>
        <w:numPr>
          <w:ilvl w:val="0"/>
          <w:numId w:val="1012"/>
        </w:numPr>
      </w:pPr>
      <w:r>
        <w:t xml:space="preserve">infraestructura accediendo a presentación;</w:t>
      </w:r>
    </w:p>
    <w:p>
      <w:pPr>
        <w:pStyle w:val="Compact"/>
        <w:numPr>
          <w:ilvl w:val="0"/>
          <w:numId w:val="1012"/>
        </w:numPr>
      </w:pPr>
      <w:r>
        <w:t xml:space="preserve">contextos mezclados dentro de una misma capa.</w:t>
      </w:r>
    </w:p>
    <w:p>
      <w:r>
        <w:pict>
          <v:rect style="width:0;height:1.5pt" o:hralign="center" o:hrstd="t" o:hr="t"/>
        </w:pict>
      </w:r>
    </w:p>
    <w:bookmarkEnd w:id="34"/>
    <w:bookmarkStart w:id="35" w:name="X537ac41e3fda470c3b6197aa2851b064586a85e"/>
    <w:p>
      <w:pPr>
        <w:pStyle w:val="Heading3"/>
      </w:pPr>
      <w:r>
        <w:t xml:space="preserve">13.</w:t>
      </w:r>
      <w:r>
        <w:t xml:space="preserve"> </w:t>
      </w:r>
      <w:r>
        <w:rPr>
          <w:b/>
          <w:bCs/>
        </w:rPr>
        <w:t xml:space="preserve">Medium-High — Compatibilidad reducida a subconjunto de campos</w:t>
      </w:r>
    </w:p>
    <w:p>
      <w:pPr>
        <w:pStyle w:val="FirstParagraph"/>
      </w:pPr>
      <w:r>
        <w:t xml:space="preserve">El material considera compatible una evolución cuando:</w:t>
      </w:r>
    </w:p>
    <w:p>
      <w:pPr>
        <w:pStyle w:val="SourceCode"/>
      </w:pPr>
      <w:r>
        <w:rPr>
          <w:rStyle w:val="NormalTok"/>
        </w:rPr>
        <w:t xml:space="preserve">v1_fields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v11_fields</w:t>
      </w:r>
    </w:p>
    <w:p>
      <w:pPr>
        <w:pStyle w:val="FirstParagraph"/>
      </w:pPr>
      <w:r>
        <w:t xml:space="preserve">y compara fechas como strings.</w:t>
      </w:r>
    </w:p>
    <w:p>
      <w:pPr>
        <w:pStyle w:val="BodyText"/>
      </w:pPr>
      <w:r>
        <w:t xml:space="preserve">No cubre:</w:t>
      </w:r>
    </w:p>
    <w:p>
      <w:pPr>
        <w:pStyle w:val="Compact"/>
        <w:numPr>
          <w:ilvl w:val="0"/>
          <w:numId w:val="1013"/>
        </w:numPr>
      </w:pPr>
      <w:r>
        <w:t xml:space="preserve">cambios de tipo;</w:t>
      </w:r>
    </w:p>
    <w:p>
      <w:pPr>
        <w:pStyle w:val="Compact"/>
        <w:numPr>
          <w:ilvl w:val="0"/>
          <w:numId w:val="1013"/>
        </w:numPr>
      </w:pPr>
      <w:r>
        <w:t xml:space="preserve">required vs optional;</w:t>
      </w:r>
    </w:p>
    <w:p>
      <w:pPr>
        <w:pStyle w:val="Compact"/>
        <w:numPr>
          <w:ilvl w:val="0"/>
          <w:numId w:val="1013"/>
        </w:numPr>
      </w:pPr>
      <w:r>
        <w:t xml:space="preserve">semántica;</w:t>
      </w:r>
    </w:p>
    <w:p>
      <w:pPr>
        <w:pStyle w:val="Compact"/>
        <w:numPr>
          <w:ilvl w:val="0"/>
          <w:numId w:val="1013"/>
        </w:numPr>
      </w:pPr>
      <w:r>
        <w:t xml:space="preserve">enums;</w:t>
      </w:r>
    </w:p>
    <w:p>
      <w:pPr>
        <w:pStyle w:val="Compact"/>
        <w:numPr>
          <w:ilvl w:val="0"/>
          <w:numId w:val="1013"/>
        </w:numPr>
      </w:pPr>
      <w:r>
        <w:t xml:space="preserve">defaults;</w:t>
      </w:r>
    </w:p>
    <w:p>
      <w:pPr>
        <w:pStyle w:val="Compact"/>
        <w:numPr>
          <w:ilvl w:val="0"/>
          <w:numId w:val="1013"/>
        </w:numPr>
      </w:pPr>
      <w:r>
        <w:t xml:space="preserve">restricciones;</w:t>
      </w:r>
    </w:p>
    <w:p>
      <w:pPr>
        <w:pStyle w:val="Compact"/>
        <w:numPr>
          <w:ilvl w:val="0"/>
          <w:numId w:val="1013"/>
        </w:numPr>
      </w:pPr>
      <w:r>
        <w:t xml:space="preserve">comportamiento;</w:t>
      </w:r>
    </w:p>
    <w:p>
      <w:pPr>
        <w:pStyle w:val="Compact"/>
        <w:numPr>
          <w:ilvl w:val="0"/>
          <w:numId w:val="1013"/>
        </w:numPr>
      </w:pPr>
      <w:r>
        <w:t xml:space="preserve">compatibilidad de eventos;</w:t>
      </w:r>
    </w:p>
    <w:p>
      <w:pPr>
        <w:pStyle w:val="Compact"/>
        <w:numPr>
          <w:ilvl w:val="0"/>
          <w:numId w:val="1013"/>
        </w:numPr>
      </w:pPr>
      <w:r>
        <w:t xml:space="preserve">consumidores reales.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forma una visión demasiado optimista de la evolución aditiva.</w:t>
      </w:r>
    </w:p>
    <w:p>
      <w:r>
        <w:pict>
          <v:rect style="width:0;height:1.5pt" o:hralign="center" o:hrstd="t" o:hr="t"/>
        </w:pict>
      </w:r>
    </w:p>
    <w:bookmarkEnd w:id="35"/>
    <w:bookmarkStart w:id="36" w:name="medium-carga-conceptual-excesiva"/>
    <w:p>
      <w:pPr>
        <w:pStyle w:val="Heading3"/>
      </w:pPr>
      <w:r>
        <w:t xml:space="preserve">14.</w:t>
      </w:r>
      <w:r>
        <w:t xml:space="preserve"> </w:t>
      </w:r>
      <w:r>
        <w:rPr>
          <w:b/>
          <w:bCs/>
        </w:rPr>
        <w:t xml:space="preserve">Medium — Carga conceptual excesiva</w:t>
      </w:r>
    </w:p>
    <w:p>
      <w:pPr>
        <w:pStyle w:val="FirstParagraph"/>
      </w:pPr>
      <w:r>
        <w:t xml:space="preserve">En veinte horas se introducen:</w:t>
      </w:r>
    </w:p>
    <w:p>
      <w:pPr>
        <w:pStyle w:val="Compact"/>
        <w:numPr>
          <w:ilvl w:val="0"/>
          <w:numId w:val="1014"/>
        </w:numPr>
      </w:pPr>
      <w:r>
        <w:t xml:space="preserve">requisitos funcionales;</w:t>
      </w:r>
    </w:p>
    <w:p>
      <w:pPr>
        <w:pStyle w:val="Compact"/>
        <w:numPr>
          <w:ilvl w:val="0"/>
          <w:numId w:val="1014"/>
        </w:numPr>
      </w:pPr>
      <w:r>
        <w:t xml:space="preserve">quality attributes;</w:t>
      </w:r>
    </w:p>
    <w:p>
      <w:pPr>
        <w:pStyle w:val="Compact"/>
        <w:numPr>
          <w:ilvl w:val="0"/>
          <w:numId w:val="1014"/>
        </w:numPr>
      </w:pPr>
      <w:r>
        <w:t xml:space="preserve">trade-offs;</w:t>
      </w:r>
    </w:p>
    <w:p>
      <w:pPr>
        <w:pStyle w:val="Compact"/>
        <w:numPr>
          <w:ilvl w:val="0"/>
          <w:numId w:val="1014"/>
        </w:numPr>
      </w:pPr>
      <w:r>
        <w:t xml:space="preserve">riesgo residual;</w:t>
      </w:r>
    </w:p>
    <w:p>
      <w:pPr>
        <w:pStyle w:val="Compact"/>
        <w:numPr>
          <w:ilvl w:val="0"/>
          <w:numId w:val="1014"/>
        </w:numPr>
      </w:pPr>
      <w:r>
        <w:t xml:space="preserve">cohesión y acoplamiento;</w:t>
      </w:r>
    </w:p>
    <w:p>
      <w:pPr>
        <w:pStyle w:val="Compact"/>
        <w:numPr>
          <w:ilvl w:val="0"/>
          <w:numId w:val="1014"/>
        </w:numPr>
      </w:pPr>
      <w:r>
        <w:t xml:space="preserve">arquitectura en capas;</w:t>
      </w:r>
    </w:p>
    <w:p>
      <w:pPr>
        <w:pStyle w:val="Compact"/>
        <w:numPr>
          <w:ilvl w:val="0"/>
          <w:numId w:val="1014"/>
        </w:numPr>
      </w:pPr>
      <w:r>
        <w:t xml:space="preserve">hexagonal;</w:t>
      </w:r>
    </w:p>
    <w:p>
      <w:pPr>
        <w:pStyle w:val="Compact"/>
        <w:numPr>
          <w:ilvl w:val="0"/>
          <w:numId w:val="1014"/>
        </w:numPr>
      </w:pPr>
      <w:r>
        <w:t xml:space="preserve">strategic DDD;</w:t>
      </w:r>
    </w:p>
    <w:p>
      <w:pPr>
        <w:pStyle w:val="Compact"/>
        <w:numPr>
          <w:ilvl w:val="0"/>
          <w:numId w:val="1014"/>
        </w:numPr>
      </w:pPr>
      <w:r>
        <w:t xml:space="preserve">tactical DDD;</w:t>
      </w:r>
    </w:p>
    <w:p>
      <w:pPr>
        <w:pStyle w:val="Compact"/>
        <w:numPr>
          <w:ilvl w:val="0"/>
          <w:numId w:val="1014"/>
        </w:numPr>
      </w:pPr>
      <w:r>
        <w:t xml:space="preserve">C4;</w:t>
      </w:r>
    </w:p>
    <w:p>
      <w:pPr>
        <w:pStyle w:val="Compact"/>
        <w:numPr>
          <w:ilvl w:val="0"/>
          <w:numId w:val="1014"/>
        </w:numPr>
      </w:pPr>
      <w:r>
        <w:t xml:space="preserve">ADRs;</w:t>
      </w:r>
    </w:p>
    <w:p>
      <w:pPr>
        <w:pStyle w:val="Compact"/>
        <w:numPr>
          <w:ilvl w:val="0"/>
          <w:numId w:val="1014"/>
        </w:numPr>
      </w:pPr>
      <w:r>
        <w:t xml:space="preserve">APIs y eventos;</w:t>
      </w:r>
    </w:p>
    <w:p>
      <w:pPr>
        <w:pStyle w:val="Compact"/>
        <w:numPr>
          <w:ilvl w:val="0"/>
          <w:numId w:val="1014"/>
        </w:numPr>
      </w:pPr>
      <w:r>
        <w:t xml:space="preserve">compatibilidad;</w:t>
      </w:r>
    </w:p>
    <w:p>
      <w:pPr>
        <w:pStyle w:val="Compact"/>
        <w:numPr>
          <w:ilvl w:val="0"/>
          <w:numId w:val="1014"/>
        </w:numPr>
      </w:pPr>
      <w:r>
        <w:t xml:space="preserve">deuda técnica.</w:t>
      </w:r>
    </w:p>
    <w:p>
      <w:pPr>
        <w:pStyle w:val="FirstParagraph"/>
      </w:pPr>
      <w:r>
        <w:t xml:space="preserve">El diccionario inicial comprime varios conceptos expertos en un solo párrafo.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el alumno recibe mucha terminología antes de construir modelos mentales diferenciados.</w:t>
      </w:r>
    </w:p>
    <w:p>
      <w:r>
        <w:pict>
          <v:rect style="width:0;height:1.5pt" o:hralign="center" o:hrstd="t" o:hr="t"/>
        </w:pict>
      </w:r>
    </w:p>
    <w:bookmarkEnd w:id="36"/>
    <w:bookmarkStart w:id="37" w:name="medium-metatexto-de-harness-filtrado"/>
    <w:p>
      <w:pPr>
        <w:pStyle w:val="Heading3"/>
      </w:pPr>
      <w:r>
        <w:t xml:space="preserve">15.</w:t>
      </w:r>
      <w:r>
        <w:t xml:space="preserve"> </w:t>
      </w:r>
      <w:r>
        <w:rPr>
          <w:b/>
          <w:bCs/>
        </w:rPr>
        <w:t xml:space="preserve">Medium — Metatexto de harness filtrado</w:t>
      </w:r>
    </w:p>
    <w:p>
      <w:pPr>
        <w:pStyle w:val="FirstParagraph"/>
      </w:pPr>
      <w:r>
        <w:t xml:space="preserve">Frases visibles incluyen:</w:t>
      </w:r>
    </w:p>
    <w:p>
      <w:pPr>
        <w:pStyle w:val="Compact"/>
        <w:numPr>
          <w:ilvl w:val="0"/>
          <w:numId w:val="1015"/>
        </w:numPr>
      </w:pPr>
      <w:r>
        <w:t xml:space="preserve">“fixture adverso”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“salida exacta”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“solutionCode”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“si falta evidencia, no promociones”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“corrige el DEFECT”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“starter contiene el mismo criterio invertido”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“gate”</w:t>
      </w:r>
      <w:r>
        <w:t xml:space="preserve"> </w:t>
      </w:r>
      <w:r>
        <w:t xml:space="preserve">repetido como lenguaje de producción.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el contenido suena a especificación interna de generación o validación, no a experiencia editorial terminada.</w:t>
      </w:r>
    </w:p>
    <w:p>
      <w:r>
        <w:pict>
          <v:rect style="width:0;height:1.5pt" o:hralign="center" o:hrstd="t" o:hr="t"/>
        </w:pict>
      </w:r>
    </w:p>
    <w:bookmarkEnd w:id="37"/>
    <w:bookmarkStart w:id="38" w:name="Xb3a8ef21abefaaa8841c4e8a4e2e5ac5d461696"/>
    <w:p>
      <w:pPr>
        <w:pStyle w:val="Heading3"/>
      </w:pPr>
      <w:r>
        <w:t xml:space="preserve">16.</w:t>
      </w:r>
      <w:r>
        <w:t xml:space="preserve"> </w:t>
      </w:r>
      <w:r>
        <w:rPr>
          <w:b/>
          <w:bCs/>
        </w:rPr>
        <w:t xml:space="preserve">Medium — Identificadores y estados contradictorios</w:t>
      </w:r>
    </w:p>
    <w:p>
      <w:pPr>
        <w:pStyle w:val="FirstParagraph"/>
      </w:pPr>
      <w:r>
        <w:t xml:space="preserve">El roadmap denomina S40</w:t>
      </w:r>
      <w:r>
        <w:t xml:space="preserve"> </w:t>
      </w:r>
      <w:r>
        <w:t xml:space="preserve">“Arquitectura, DDD y decisiones técnicas”</w:t>
      </w:r>
      <w:r>
        <w:t xml:space="preserve">, pero el slug es</w:t>
      </w:r>
      <w:r>
        <w:t xml:space="preserve"> </w:t>
      </w:r>
      <w:r>
        <w:rPr>
          <w:rStyle w:val="VerbatimChar"/>
        </w:rPr>
        <w:t xml:space="preserve">agentic-architecture</w:t>
      </w:r>
      <w:r>
        <w:t xml:space="preserve">; S41 usa</w:t>
      </w:r>
      <w:r>
        <w:t xml:space="preserve"> </w:t>
      </w:r>
      <w:r>
        <w:rPr>
          <w:rStyle w:val="VerbatimChar"/>
        </w:rPr>
        <w:t xml:space="preserve">llm-finetuning</w:t>
      </w:r>
      <w:r>
        <w:t xml:space="preserve"> </w:t>
      </w:r>
      <w:r>
        <w:t xml:space="preserve">aunque corresponde a FastAPI.</w:t>
      </w:r>
    </w:p>
    <w:p>
      <w:pPr>
        <w:pStyle w:val="BodyText"/>
      </w:pPr>
      <w:r>
        <w:t xml:space="preserve">El ledger registra simultáneamente: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state: passed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phase_detail: PHASE_6_PASSED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nota:</w:t>
      </w:r>
      <w:r>
        <w:t xml:space="preserve"> </w:t>
      </w:r>
      <w:r>
        <w:t xml:space="preserve">“exam+P6 pending”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rompe la confiabilidad del sistema de gobernanza que la propia sección pretende enseñar.</w:t>
      </w:r>
    </w:p>
    <w:p>
      <w:r>
        <w:pict>
          <v:rect style="width:0;height:1.5pt" o:hralign="center" o:hrstd="t" o:hr="t"/>
        </w:pict>
      </w:r>
    </w:p>
    <w:bookmarkEnd w:id="38"/>
    <w:bookmarkStart w:id="39" w:name="medium-redacción-es-pe-inconsistente"/>
    <w:p>
      <w:pPr>
        <w:pStyle w:val="Heading3"/>
      </w:pPr>
      <w:r>
        <w:t xml:space="preserve">17.</w:t>
      </w:r>
      <w:r>
        <w:t xml:space="preserve"> </w:t>
      </w:r>
      <w:r>
        <w:rPr>
          <w:b/>
          <w:bCs/>
        </w:rPr>
        <w:t xml:space="preserve">Medium — Redacción es-PE inconsistente</w:t>
      </w:r>
    </w:p>
    <w:p>
      <w:pPr>
        <w:pStyle w:val="FirstParagraph"/>
      </w:pPr>
      <w:r>
        <w:t xml:space="preserve">Problemas representativos:</w:t>
      </w:r>
    </w:p>
    <w:p>
      <w:pPr>
        <w:pStyle w:val="Compact"/>
        <w:numPr>
          <w:ilvl w:val="0"/>
          <w:numId w:val="1017"/>
        </w:numPr>
      </w:pPr>
      <w:r>
        <w:t xml:space="preserve">“úsa la”</w:t>
      </w:r>
      <w:r>
        <w:t xml:space="preserve"> </w:t>
      </w:r>
      <w:r>
        <w:t xml:space="preserve">en vez de</w:t>
      </w:r>
      <w:r>
        <w:t xml:space="preserve"> </w:t>
      </w:r>
      <w:r>
        <w:rPr>
          <w:b/>
          <w:bCs/>
        </w:rPr>
        <w:t xml:space="preserve">úsala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alternancia innecesaria entre inglés y español;</w:t>
      </w:r>
    </w:p>
    <w:p>
      <w:pPr>
        <w:pStyle w:val="Compact"/>
        <w:numPr>
          <w:ilvl w:val="0"/>
          <w:numId w:val="1017"/>
        </w:numPr>
      </w:pPr>
      <w:r>
        <w:t xml:space="preserve">“owner”</w:t>
      </w:r>
      <w:r>
        <w:t xml:space="preserve">,</w:t>
      </w:r>
      <w:r>
        <w:t xml:space="preserve"> </w:t>
      </w:r>
      <w:r>
        <w:t xml:space="preserve">“promote”</w:t>
      </w:r>
      <w:r>
        <w:t xml:space="preserve">,</w:t>
      </w:r>
      <w:r>
        <w:t xml:space="preserve"> </w:t>
      </w:r>
      <w:r>
        <w:t xml:space="preserve">“breach”</w:t>
      </w:r>
      <w:r>
        <w:t xml:space="preserve">,</w:t>
      </w:r>
      <w:r>
        <w:t xml:space="preserve"> </w:t>
      </w:r>
      <w:r>
        <w:t xml:space="preserve">“residual”</w:t>
      </w:r>
      <w:r>
        <w:t xml:space="preserve">,</w:t>
      </w:r>
      <w:r>
        <w:t xml:space="preserve"> </w:t>
      </w:r>
      <w:r>
        <w:t xml:space="preserve">“lab”</w:t>
      </w:r>
      <w:r>
        <w:t xml:space="preserve">,</w:t>
      </w:r>
      <w:r>
        <w:t xml:space="preserve"> </w:t>
      </w:r>
      <w:r>
        <w:t xml:space="preserve">“fixture”</w:t>
      </w:r>
      <w:r>
        <w:t xml:space="preserve">,</w:t>
      </w:r>
      <w:r>
        <w:t xml:space="preserve"> </w:t>
      </w:r>
      <w:r>
        <w:t xml:space="preserve">“starter”</w:t>
      </w:r>
      <w:r>
        <w:t xml:space="preserve">,</w:t>
      </w:r>
      <w:r>
        <w:t xml:space="preserve"> </w:t>
      </w:r>
      <w:r>
        <w:t xml:space="preserve">“score”</w:t>
      </w:r>
      <w:r>
        <w:t xml:space="preserve"> </w:t>
      </w:r>
      <w:r>
        <w:t xml:space="preserve">y</w:t>
      </w:r>
      <w:r>
        <w:t xml:space="preserve"> </w:t>
      </w:r>
      <w:r>
        <w:t xml:space="preserve">“truthy”</w:t>
      </w:r>
      <w:r>
        <w:t xml:space="preserve"> </w:t>
      </w:r>
      <w:r>
        <w:t xml:space="preserve">sin política terminológica;</w:t>
      </w:r>
    </w:p>
    <w:p>
      <w:pPr>
        <w:pStyle w:val="Compact"/>
        <w:numPr>
          <w:ilvl w:val="0"/>
          <w:numId w:val="1017"/>
        </w:numPr>
      </w:pPr>
      <w:r>
        <w:t xml:space="preserve">oraciones densas con demasiados paréntesis;</w:t>
      </w:r>
    </w:p>
    <w:p>
      <w:pPr>
        <w:pStyle w:val="Compact"/>
        <w:numPr>
          <w:ilvl w:val="0"/>
          <w:numId w:val="1017"/>
        </w:numPr>
      </w:pPr>
      <w:r>
        <w:t xml:space="preserve">mezcla de</w:t>
      </w:r>
      <w:r>
        <w:t xml:space="preserve"> </w:t>
      </w:r>
      <w:r>
        <w:rPr>
          <w:rStyle w:val="VerbatimChar"/>
        </w:rPr>
        <w:t xml:space="preserve">CaseRepo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CaseRepository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“portfolio”</w:t>
      </w:r>
      <w:r>
        <w:t xml:space="preserve"> </w:t>
      </w:r>
      <w:r>
        <w:t xml:space="preserve">en vez de</w:t>
      </w:r>
      <w:r>
        <w:t xml:space="preserve"> </w:t>
      </w:r>
      <w:r>
        <w:t xml:space="preserve">“portafolio”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aumenta la carga extrínseca y reduce el acabado profesional.</w:t>
      </w:r>
    </w:p>
    <w:p>
      <w:r>
        <w:pict>
          <v:rect style="width:0;height:1.5pt" o:hralign="center" o:hrstd="t" o:hr="t"/>
        </w:pict>
      </w:r>
    </w:p>
    <w:bookmarkEnd w:id="39"/>
    <w:bookmarkStart w:id="40" w:name="medium-rúbrica-parcialmente-desalineada"/>
    <w:p>
      <w:pPr>
        <w:pStyle w:val="Heading3"/>
      </w:pPr>
      <w:r>
        <w:t xml:space="preserve">18.</w:t>
      </w:r>
      <w:r>
        <w:t xml:space="preserve"> </w:t>
      </w:r>
      <w:r>
        <w:rPr>
          <w:b/>
          <w:bCs/>
        </w:rPr>
        <w:t xml:space="preserve">Medium — Rúbrica parcialmente desalineada</w:t>
      </w:r>
    </w:p>
    <w:p>
      <w:pPr>
        <w:pStyle w:val="FirstParagraph"/>
      </w:pPr>
      <w:r>
        <w:t xml:space="preserve">La rúbrica incluye seguridad, privacidad, least privilege, lineage, observabilidad y SLO, aunque varios de esos elementos no se enseñan ni practican suficientemente dentro de S40.</w:t>
      </w:r>
    </w:p>
    <w:p>
      <w:pPr>
        <w:pStyle w:val="BodyText"/>
      </w:pPr>
      <w:r>
        <w:t xml:space="preserve">Además, una sección centrada en C4 no ofrece evidencia visual verificable ni criterios explícitos de accesibilidad del diagrama.</w:t>
      </w:r>
    </w:p>
    <w:bookmarkEnd w:id="40"/>
    <w:bookmarkEnd w:id="41"/>
    <w:bookmarkStart w:id="43" w:name="meta-leak-report"/>
    <w:p>
      <w:pPr>
        <w:pStyle w:val="Heading2"/>
      </w:pPr>
      <w:r>
        <w:t xml:space="preserve">4. Meta-Leak Report</w:t>
      </w:r>
    </w:p>
    <w:bookmarkStart w:id="42" w:name="meta-texto-detectado"/>
    <w:p>
      <w:pPr>
        <w:pStyle w:val="Heading3"/>
      </w:pPr>
      <w:r>
        <w:t xml:space="preserve">Meta-texto detectado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Texto visible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Callouts de teoría</w:t>
            </w:r>
          </w:p>
        </w:tc>
        <w:tc>
          <w:tcPr/>
          <w:p>
            <w:pPr>
              <w:pStyle w:val="Compact"/>
            </w:pPr>
            <w:r>
              <w:t xml:space="preserve">“si falta evidencia, no promociones”</w:t>
            </w:r>
          </w:p>
        </w:tc>
        <w:tc>
          <w:tcPr/>
          <w:p>
            <w:pPr>
              <w:pStyle w:val="Compact"/>
            </w:pPr>
            <w:r>
              <w:t xml:space="preserve">instrucción de pipeline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Do</w:t>
            </w:r>
          </w:p>
        </w:tc>
        <w:tc>
          <w:tcPr/>
          <w:p>
            <w:pPr>
              <w:pStyle w:val="Compact"/>
            </w:pPr>
            <w:r>
              <w:t xml:space="preserve">“corrige el DEFECT”</w:t>
            </w:r>
          </w:p>
        </w:tc>
        <w:tc>
          <w:tcPr/>
          <w:p>
            <w:pPr>
              <w:pStyle w:val="Compact"/>
            </w:pPr>
            <w:r>
              <w:t xml:space="preserve">harness de reparación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Do</w:t>
            </w:r>
          </w:p>
        </w:tc>
        <w:tc>
          <w:tcPr/>
          <w:p>
            <w:pPr>
              <w:pStyle w:val="Compact"/>
            </w:pPr>
            <w:r>
              <w:t xml:space="preserve">“salida/checklist alineada a solutionCode”</w:t>
            </w:r>
          </w:p>
        </w:tc>
        <w:tc>
          <w:tcPr/>
          <w:p>
            <w:pPr>
              <w:pStyle w:val="Compact"/>
            </w:pPr>
            <w:r>
              <w:t xml:space="preserve">referencia a estructura 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Do</w:t>
            </w:r>
          </w:p>
        </w:tc>
        <w:tc>
          <w:tcPr/>
          <w:p>
            <w:pPr>
              <w:pStyle w:val="Compact"/>
            </w:pPr>
            <w:r>
              <w:t xml:space="preserve">“fixture adverso”</w:t>
            </w:r>
          </w:p>
        </w:tc>
        <w:tc>
          <w:tcPr/>
          <w:p>
            <w:pPr>
              <w:pStyle w:val="Compact"/>
            </w:pPr>
            <w:r>
              <w:t xml:space="preserve">jerga de autoría/testing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Do E2</w:t>
            </w:r>
          </w:p>
        </w:tc>
        <w:tc>
          <w:tcPr/>
          <w:p>
            <w:pPr>
              <w:pStyle w:val="Compact"/>
            </w:pPr>
            <w:r>
              <w:t xml:space="preserve">“el starter contiene el mismo criterio invertido visto en E1”</w:t>
            </w:r>
          </w:p>
        </w:tc>
        <w:tc>
          <w:tcPr/>
          <w:p>
            <w:pPr>
              <w:pStyle w:val="Compact"/>
            </w:pPr>
            <w:r>
              <w:t xml:space="preserve">explicación del patrón de generación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Do</w:t>
            </w:r>
          </w:p>
        </w:tc>
        <w:tc>
          <w:tcPr/>
          <w:p>
            <w:pPr>
              <w:pStyle w:val="Compact"/>
            </w:pPr>
            <w:r>
              <w:t xml:space="preserve">“Checklist de evidencia CP-N4-A”</w:t>
            </w:r>
          </w:p>
        </w:tc>
        <w:tc>
          <w:tcPr/>
          <w:p>
            <w:pPr>
              <w:pStyle w:val="Compact"/>
            </w:pPr>
            <w:r>
              <w:t xml:space="preserve">lenguaje de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Do</w:t>
            </w:r>
          </w:p>
        </w:tc>
        <w:tc>
          <w:tcPr/>
          <w:p>
            <w:pPr>
              <w:pStyle w:val="Compact"/>
            </w:pPr>
            <w:r>
              <w:t xml:space="preserve">“marca evidence[key] = True”</w:t>
            </w:r>
          </w:p>
        </w:tc>
        <w:tc>
          <w:tcPr/>
          <w:p>
            <w:pPr>
              <w:pStyle w:val="Compact"/>
            </w:pPr>
            <w:r>
              <w:t xml:space="preserve">mecanismo interno expuesto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“exam+P6 pending”</w:t>
            </w:r>
            <w:r>
              <w:t xml:space="preserve"> </w:t>
            </w:r>
            <w:r>
              <w:t xml:space="preserve">junto a</w:t>
            </w:r>
            <w:r>
              <w:t xml:space="preserve"> </w:t>
            </w:r>
            <w:r>
              <w:rPr>
                <w:rStyle w:val="VerbatimChar"/>
              </w:rPr>
              <w:t xml:space="preserve">PHASE_6_PASSED</w:t>
            </w:r>
          </w:p>
        </w:tc>
        <w:tc>
          <w:tcPr/>
          <w:p>
            <w:pPr>
              <w:pStyle w:val="Compact"/>
            </w:pPr>
            <w:r>
              <w:t xml:space="preserve">contradicción de estado</w:t>
            </w:r>
          </w:p>
        </w:tc>
      </w:tr>
    </w:tbl>
    <w:p>
      <w:pPr>
        <w:pStyle w:val="BodyText"/>
      </w:pPr>
      <w:r>
        <w:t xml:space="preserve">No se encontraron comentarios de IA explícitos como</w:t>
      </w:r>
      <w:r>
        <w:t xml:space="preserve"> </w:t>
      </w:r>
      <w:r>
        <w:t xml:space="preserve">“el modelo debe…”</w:t>
      </w:r>
      <w:r>
        <w:t xml:space="preserve">, pero sí abundante lenguaje que delata el harness de producción curricular.</w:t>
      </w:r>
    </w:p>
    <w:bookmarkEnd w:id="42"/>
    <w:bookmarkEnd w:id="43"/>
    <w:bookmarkStart w:id="51" w:name="pedagogical-redaction-deep-dive"/>
    <w:p>
      <w:pPr>
        <w:pStyle w:val="Heading2"/>
      </w:pPr>
      <w:r>
        <w:t xml:space="preserve">5. Pedagogical &amp; Redaction Deep Dive</w:t>
      </w:r>
    </w:p>
    <w:bookmarkStart w:id="44" w:name="i-do"/>
    <w:p>
      <w:pPr>
        <w:pStyle w:val="Heading3"/>
      </w:pPr>
      <w:r>
        <w:t xml:space="preserve">I Do</w:t>
      </w:r>
    </w:p>
    <w:p>
      <w:pPr>
        <w:pStyle w:val="FirstParagraph"/>
      </w:pPr>
      <w:r>
        <w:rPr>
          <w:b/>
          <w:bCs/>
        </w:rPr>
        <w:t xml:space="preserve">Fortaleza:</w:t>
      </w:r>
      <w:r>
        <w:t xml:space="preserve"> </w:t>
      </w:r>
      <w:r>
        <w:t xml:space="preserve">cada subtema tiene demo y explicación</w:t>
      </w:r>
      <w:r>
        <w:t xml:space="preserve"> </w:t>
      </w:r>
      <w:r>
        <w:t xml:space="preserve">“why”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Debilidad:</w:t>
      </w:r>
      <w:r>
        <w:t xml:space="preserve"> </w:t>
      </w:r>
      <w:r>
        <w:t xml:space="preserve">el I Do modela la ejecución de validadores, no el trabajo cognitivo del arquitecto. Falta un think-aloud como:</w:t>
      </w:r>
    </w:p>
    <w:p>
      <w:pPr>
        <w:pStyle w:val="Compact"/>
        <w:numPr>
          <w:ilvl w:val="0"/>
          <w:numId w:val="1018"/>
        </w:numPr>
      </w:pPr>
      <w:r>
        <w:t xml:space="preserve">identificar stakeholders;</w:t>
      </w:r>
    </w:p>
    <w:p>
      <w:pPr>
        <w:pStyle w:val="Compact"/>
        <w:numPr>
          <w:ilvl w:val="0"/>
          <w:numId w:val="1018"/>
        </w:numPr>
      </w:pPr>
      <w:r>
        <w:t xml:space="preserve">extraer drivers;</w:t>
      </w:r>
    </w:p>
    <w:p>
      <w:pPr>
        <w:pStyle w:val="Compact"/>
        <w:numPr>
          <w:ilvl w:val="0"/>
          <w:numId w:val="1018"/>
        </w:numPr>
      </w:pPr>
      <w:r>
        <w:t xml:space="preserve">formular preguntas;</w:t>
      </w:r>
    </w:p>
    <w:p>
      <w:pPr>
        <w:pStyle w:val="Compact"/>
        <w:numPr>
          <w:ilvl w:val="0"/>
          <w:numId w:val="1018"/>
        </w:numPr>
      </w:pPr>
      <w:r>
        <w:t xml:space="preserve">comparar opciones;</w:t>
      </w:r>
    </w:p>
    <w:p>
      <w:pPr>
        <w:pStyle w:val="Compact"/>
        <w:numPr>
          <w:ilvl w:val="0"/>
          <w:numId w:val="1018"/>
        </w:numPr>
      </w:pPr>
      <w:r>
        <w:t xml:space="preserve">señalar incertidumbres;</w:t>
      </w:r>
    </w:p>
    <w:p>
      <w:pPr>
        <w:pStyle w:val="Compact"/>
        <w:numPr>
          <w:ilvl w:val="0"/>
          <w:numId w:val="1018"/>
        </w:numPr>
      </w:pPr>
      <w:r>
        <w:t xml:space="preserve">revisar supuestos;</w:t>
      </w:r>
    </w:p>
    <w:p>
      <w:pPr>
        <w:pStyle w:val="Compact"/>
        <w:numPr>
          <w:ilvl w:val="0"/>
          <w:numId w:val="1018"/>
        </w:numPr>
      </w:pPr>
      <w:r>
        <w:t xml:space="preserve">redactar el artefacto;</w:t>
      </w:r>
    </w:p>
    <w:p>
      <w:pPr>
        <w:pStyle w:val="Compact"/>
        <w:numPr>
          <w:ilvl w:val="0"/>
          <w:numId w:val="1018"/>
        </w:numPr>
      </w:pPr>
      <w:r>
        <w:t xml:space="preserve">someterlo a crítica.</w:t>
      </w:r>
    </w:p>
    <w:bookmarkEnd w:id="44"/>
    <w:bookmarkStart w:id="45" w:name="we-do"/>
    <w:p>
      <w:pPr>
        <w:pStyle w:val="Heading3"/>
      </w:pPr>
      <w:r>
        <w:t xml:space="preserve">We Do</w:t>
      </w:r>
    </w:p>
    <w:p>
      <w:pPr>
        <w:pStyle w:val="FirstParagraph"/>
      </w:pPr>
      <w:r>
        <w:t xml:space="preserve">El We Do ofrece pistas, soluciones, casos borde y feedback, lo que es estructuralmente positivo.</w:t>
      </w:r>
    </w:p>
    <w:p>
      <w:pPr>
        <w:pStyle w:val="BodyText"/>
      </w:pPr>
      <w:r>
        <w:t xml:space="preserve">No obstante, su progresión es casi enteramente sintáctica:</w:t>
      </w:r>
    </w:p>
    <w:p>
      <w:pPr>
        <w:pStyle w:val="Compact"/>
        <w:numPr>
          <w:ilvl w:val="0"/>
          <w:numId w:val="1019"/>
        </w:numPr>
      </w:pPr>
      <w:r>
        <w:t xml:space="preserve">E1 corrige una condición;</w:t>
      </w:r>
    </w:p>
    <w:p>
      <w:pPr>
        <w:pStyle w:val="Compact"/>
        <w:numPr>
          <w:ilvl w:val="0"/>
          <w:numId w:val="1019"/>
        </w:numPr>
      </w:pPr>
      <w:r>
        <w:t xml:space="preserve">E2 añade tres rutas;</w:t>
      </w:r>
    </w:p>
    <w:p>
      <w:pPr>
        <w:pStyle w:val="Compact"/>
        <w:numPr>
          <w:ilvl w:val="0"/>
          <w:numId w:val="1019"/>
        </w:numPr>
      </w:pPr>
      <w:r>
        <w:t xml:space="preserve">E3 cambia códigos de salida.</w:t>
      </w:r>
    </w:p>
    <w:p>
      <w:pPr>
        <w:pStyle w:val="FirstParagraph"/>
      </w:pPr>
      <w:r>
        <w:t xml:space="preserve">No hay suficiente variedad entre:</w:t>
      </w:r>
    </w:p>
    <w:p>
      <w:pPr>
        <w:pStyle w:val="Compact"/>
        <w:numPr>
          <w:ilvl w:val="0"/>
          <w:numId w:val="1020"/>
        </w:numPr>
      </w:pPr>
      <w:r>
        <w:t xml:space="preserve">construir;</w:t>
      </w:r>
    </w:p>
    <w:p>
      <w:pPr>
        <w:pStyle w:val="Compact"/>
        <w:numPr>
          <w:ilvl w:val="0"/>
          <w:numId w:val="1020"/>
        </w:numPr>
      </w:pPr>
      <w:r>
        <w:t xml:space="preserve">comparar;</w:t>
      </w:r>
    </w:p>
    <w:p>
      <w:pPr>
        <w:pStyle w:val="Compact"/>
        <w:numPr>
          <w:ilvl w:val="0"/>
          <w:numId w:val="1020"/>
        </w:numPr>
      </w:pPr>
      <w:r>
        <w:t xml:space="preserve">justificar;</w:t>
      </w:r>
    </w:p>
    <w:p>
      <w:pPr>
        <w:pStyle w:val="Compact"/>
        <w:numPr>
          <w:ilvl w:val="0"/>
          <w:numId w:val="1020"/>
        </w:numPr>
      </w:pPr>
      <w:r>
        <w:t xml:space="preserve">diagramar;</w:t>
      </w:r>
    </w:p>
    <w:p>
      <w:pPr>
        <w:pStyle w:val="Compact"/>
        <w:numPr>
          <w:ilvl w:val="0"/>
          <w:numId w:val="1020"/>
        </w:numPr>
      </w:pPr>
      <w:r>
        <w:t xml:space="preserve">criticar;</w:t>
      </w:r>
    </w:p>
    <w:p>
      <w:pPr>
        <w:pStyle w:val="Compact"/>
        <w:numPr>
          <w:ilvl w:val="0"/>
          <w:numId w:val="1020"/>
        </w:numPr>
      </w:pPr>
      <w:r>
        <w:t xml:space="preserve">negociar;</w:t>
      </w:r>
    </w:p>
    <w:p>
      <w:pPr>
        <w:pStyle w:val="Compact"/>
        <w:numPr>
          <w:ilvl w:val="0"/>
          <w:numId w:val="1020"/>
        </w:numPr>
      </w:pPr>
      <w:r>
        <w:t xml:space="preserve">refactorizar;</w:t>
      </w:r>
    </w:p>
    <w:p>
      <w:pPr>
        <w:pStyle w:val="Compact"/>
        <w:numPr>
          <w:ilvl w:val="0"/>
          <w:numId w:val="1020"/>
        </w:numPr>
      </w:pPr>
      <w:r>
        <w:t xml:space="preserve">revisar un artefacto ajeno.</w:t>
      </w:r>
    </w:p>
    <w:bookmarkEnd w:id="45"/>
    <w:bookmarkStart w:id="46" w:name="you-do"/>
    <w:p>
      <w:pPr>
        <w:pStyle w:val="Heading3"/>
      </w:pPr>
      <w:r>
        <w:t xml:space="preserve">You Do</w:t>
      </w:r>
    </w:p>
    <w:p>
      <w:pPr>
        <w:pStyle w:val="FirstParagraph"/>
      </w:pPr>
      <w:r>
        <w:t xml:space="preserve">Es la parte más prometedora. Solicita:</w:t>
      </w:r>
    </w:p>
    <w:p>
      <w:pPr>
        <w:pStyle w:val="Compact"/>
        <w:numPr>
          <w:ilvl w:val="0"/>
          <w:numId w:val="1021"/>
        </w:numPr>
      </w:pPr>
      <w:r>
        <w:t xml:space="preserve">escenarios QA;</w:t>
      </w:r>
    </w:p>
    <w:p>
      <w:pPr>
        <w:pStyle w:val="Compact"/>
        <w:numPr>
          <w:ilvl w:val="0"/>
          <w:numId w:val="1021"/>
        </w:numPr>
      </w:pPr>
      <w:r>
        <w:t xml:space="preserve">context map;</w:t>
      </w:r>
    </w:p>
    <w:p>
      <w:pPr>
        <w:pStyle w:val="Compact"/>
        <w:numPr>
          <w:ilvl w:val="0"/>
          <w:numId w:val="1021"/>
        </w:numPr>
      </w:pPr>
      <w:r>
        <w:t xml:space="preserve">C4;</w:t>
      </w:r>
    </w:p>
    <w:p>
      <w:pPr>
        <w:pStyle w:val="Compact"/>
        <w:numPr>
          <w:ilvl w:val="0"/>
          <w:numId w:val="1021"/>
        </w:numPr>
      </w:pPr>
      <w:r>
        <w:t xml:space="preserve">dos ADRs;</w:t>
      </w:r>
    </w:p>
    <w:p>
      <w:pPr>
        <w:pStyle w:val="Compact"/>
        <w:numPr>
          <w:ilvl w:val="0"/>
          <w:numId w:val="1021"/>
        </w:numPr>
      </w:pPr>
      <w:r>
        <w:t xml:space="preserve">rutas normales, breach e incertidumbre;</w:t>
      </w:r>
    </w:p>
    <w:p>
      <w:pPr>
        <w:pStyle w:val="Compact"/>
        <w:numPr>
          <w:ilvl w:val="0"/>
          <w:numId w:val="1021"/>
        </w:numPr>
      </w:pPr>
      <w:r>
        <w:t xml:space="preserve">riesgo residual;</w:t>
      </w:r>
    </w:p>
    <w:p>
      <w:pPr>
        <w:pStyle w:val="Compact"/>
        <w:numPr>
          <w:ilvl w:val="0"/>
          <w:numId w:val="1021"/>
        </w:numPr>
      </w:pPr>
      <w:r>
        <w:t xml:space="preserve">rollback;</w:t>
      </w:r>
    </w:p>
    <w:p>
      <w:pPr>
        <w:pStyle w:val="Compact"/>
        <w:numPr>
          <w:ilvl w:val="0"/>
          <w:numId w:val="1021"/>
        </w:numPr>
      </w:pPr>
      <w:r>
        <w:t xml:space="preserve">evidencia reproducible.</w:t>
      </w:r>
    </w:p>
    <w:p>
      <w:pPr>
        <w:pStyle w:val="FirstParagraph"/>
      </w:pPr>
      <w:r>
        <w:t xml:space="preserve">Sin embargo, el starter convierte el dossier en una estructura Python y un conjunto de flags. El proyecto necesita artefactos reales versionados, no únicamente diccionarios.</w:t>
      </w:r>
    </w:p>
    <w:bookmarkEnd w:id="46"/>
    <w:bookmarkStart w:id="47" w:name="cognitive-load"/>
    <w:p>
      <w:pPr>
        <w:pStyle w:val="Heading3"/>
      </w:pPr>
      <w:r>
        <w:t xml:space="preserve">Cognitive load</w:t>
      </w:r>
    </w:p>
    <w:p>
      <w:pPr>
        <w:pStyle w:val="FirstParagraph"/>
      </w:pPr>
      <w:r>
        <w:t xml:space="preserve">La sección usa progressive disclosure en el sentido de stdlib-first, pero eso no basta. Reducir herramientas no reduce automáticamente la complejidad conceptual. Para un tema experto se necesita:</w:t>
      </w:r>
    </w:p>
    <w:p>
      <w:pPr>
        <w:pStyle w:val="Compact"/>
        <w:numPr>
          <w:ilvl w:val="0"/>
          <w:numId w:val="1022"/>
        </w:numPr>
      </w:pPr>
      <w:r>
        <w:t xml:space="preserve">pretraining separado;</w:t>
      </w:r>
    </w:p>
    <w:p>
      <w:pPr>
        <w:pStyle w:val="Compact"/>
        <w:numPr>
          <w:ilvl w:val="0"/>
          <w:numId w:val="1022"/>
        </w:numPr>
      </w:pPr>
      <w:r>
        <w:t xml:space="preserve">worked examples completos;</w:t>
      </w:r>
    </w:p>
    <w:p>
      <w:pPr>
        <w:pStyle w:val="Compact"/>
        <w:numPr>
          <w:ilvl w:val="0"/>
          <w:numId w:val="1022"/>
        </w:numPr>
      </w:pPr>
      <w:r>
        <w:t xml:space="preserve">comparación de ejemplos válidos e inválidos;</w:t>
      </w:r>
    </w:p>
    <w:p>
      <w:pPr>
        <w:pStyle w:val="Compact"/>
        <w:numPr>
          <w:ilvl w:val="0"/>
          <w:numId w:val="1022"/>
        </w:numPr>
      </w:pPr>
      <w:r>
        <w:t xml:space="preserve">faded guidance;</w:t>
      </w:r>
    </w:p>
    <w:p>
      <w:pPr>
        <w:pStyle w:val="Compact"/>
        <w:numPr>
          <w:ilvl w:val="0"/>
          <w:numId w:val="1022"/>
        </w:numPr>
      </w:pPr>
      <w:r>
        <w:t xml:space="preserve">mapas conceptuales;</w:t>
      </w:r>
    </w:p>
    <w:p>
      <w:pPr>
        <w:pStyle w:val="Compact"/>
        <w:numPr>
          <w:ilvl w:val="0"/>
          <w:numId w:val="1022"/>
        </w:numPr>
      </w:pPr>
      <w:r>
        <w:t xml:space="preserve">artefactos visuales;</w:t>
      </w:r>
    </w:p>
    <w:p>
      <w:pPr>
        <w:pStyle w:val="Compact"/>
        <w:numPr>
          <w:ilvl w:val="0"/>
          <w:numId w:val="1022"/>
        </w:numPr>
      </w:pPr>
      <w:r>
        <w:t xml:space="preserve">checkpoints de integración.</w:t>
      </w:r>
    </w:p>
    <w:bookmarkEnd w:id="47"/>
    <w:bookmarkStart w:id="48" w:name="exercise-and-exam-alignment"/>
    <w:p>
      <w:pPr>
        <w:pStyle w:val="Heading3"/>
      </w:pPr>
      <w:r>
        <w:t xml:space="preserve">Exercise and exam alignment</w:t>
      </w:r>
    </w:p>
    <w:p>
      <w:pPr>
        <w:pStyle w:val="FirstParagraph"/>
      </w:pPr>
      <w:r>
        <w:t xml:space="preserve">Los ejercicios están alineados nominalmente con los ocho outcomes, pero el nivel cognitivo es inferior al declarado. Los outcomes usan verbos como redactar, comparar, diseñar, delimitar, modelar, documentar y evolucionar; los ejercicios suelen pedir corregir, comprobar o seleccionar.</w:t>
      </w:r>
    </w:p>
    <w:p>
      <w:pPr>
        <w:pStyle w:val="BodyText"/>
      </w:pPr>
      <w:r>
        <w:t xml:space="preserve">El banco de examen mide principalmente definición y reconocimiento. Debería incluir mini-casos en los que el alumno:</w:t>
      </w:r>
    </w:p>
    <w:p>
      <w:pPr>
        <w:pStyle w:val="Compact"/>
        <w:numPr>
          <w:ilvl w:val="0"/>
          <w:numId w:val="1023"/>
        </w:numPr>
      </w:pPr>
      <w:r>
        <w:t xml:space="preserve">seleccione una frontera y explique el costo;</w:t>
      </w:r>
    </w:p>
    <w:p>
      <w:pPr>
        <w:pStyle w:val="Compact"/>
        <w:numPr>
          <w:ilvl w:val="0"/>
          <w:numId w:val="1023"/>
        </w:numPr>
      </w:pPr>
      <w:r>
        <w:t xml:space="preserve">critique un ADR;</w:t>
      </w:r>
    </w:p>
    <w:p>
      <w:pPr>
        <w:pStyle w:val="Compact"/>
        <w:numPr>
          <w:ilvl w:val="0"/>
          <w:numId w:val="1023"/>
        </w:numPr>
      </w:pPr>
      <w:r>
        <w:t xml:space="preserve">identifique una relación incorrecta en C4;</w:t>
      </w:r>
    </w:p>
    <w:p>
      <w:pPr>
        <w:pStyle w:val="Compact"/>
        <w:numPr>
          <w:ilvl w:val="0"/>
          <w:numId w:val="1023"/>
        </w:numPr>
      </w:pPr>
      <w:r>
        <w:t xml:space="preserve">determine compatibilidad semántica;</w:t>
      </w:r>
    </w:p>
    <w:p>
      <w:pPr>
        <w:pStyle w:val="Compact"/>
        <w:numPr>
          <w:ilvl w:val="0"/>
          <w:numId w:val="1023"/>
        </w:numPr>
      </w:pPr>
      <w:r>
        <w:t xml:space="preserve">clasifique entity vs VO con justificación;</w:t>
      </w:r>
    </w:p>
    <w:p>
      <w:pPr>
        <w:pStyle w:val="Compact"/>
        <w:numPr>
          <w:ilvl w:val="0"/>
          <w:numId w:val="1023"/>
        </w:numPr>
      </w:pPr>
      <w:r>
        <w:t xml:space="preserve">proponga una ruta de rollback.</w:t>
      </w:r>
    </w:p>
    <w:bookmarkEnd w:id="48"/>
    <w:bookmarkStart w:id="49" w:name="narrative-flow"/>
    <w:p>
      <w:pPr>
        <w:pStyle w:val="Heading3"/>
      </w:pPr>
      <w:r>
        <w:t xml:space="preserve">Narrative flow</w:t>
      </w:r>
    </w:p>
    <w:p>
      <w:pPr>
        <w:pStyle w:val="FirstParagraph"/>
      </w:pPr>
      <w:r>
        <w:t xml:space="preserve">La secuencia macro es coherente:</w:t>
      </w:r>
    </w:p>
    <w:p>
      <w:pPr>
        <w:pStyle w:val="SourceCode"/>
      </w:pPr>
      <w:r>
        <w:rPr>
          <w:rStyle w:val="VerbatimChar"/>
        </w:rPr>
        <w:t xml:space="preserve">drivers</w:t>
      </w:r>
      <w:r>
        <w:br/>
      </w:r>
      <w:r>
        <w:rPr>
          <w:rStyle w:val="VerbatimChar"/>
        </w:rPr>
        <w:t xml:space="preserve">→ fronteras</w:t>
      </w:r>
      <w:r>
        <w:br/>
      </w:r>
      <w:r>
        <w:rPr>
          <w:rStyle w:val="VerbatimChar"/>
        </w:rPr>
        <w:t xml:space="preserve">→ dominio</w:t>
      </w:r>
      <w:r>
        <w:br/>
      </w:r>
      <w:r>
        <w:rPr>
          <w:rStyle w:val="VerbatimChar"/>
        </w:rPr>
        <w:t xml:space="preserve">→ documentación</w:t>
      </w:r>
      <w:r>
        <w:br/>
      </w:r>
      <w:r>
        <w:rPr>
          <w:rStyle w:val="VerbatimChar"/>
        </w:rPr>
        <w:t xml:space="preserve">→ evolución</w:t>
      </w:r>
    </w:p>
    <w:p>
      <w:pPr>
        <w:pStyle w:val="FirstParagraph"/>
      </w:pPr>
      <w:r>
        <w:t xml:space="preserve">Pero faltan puentes entre los temas. Especialmente:</w:t>
      </w:r>
    </w:p>
    <w:p>
      <w:pPr>
        <w:pStyle w:val="Compact"/>
        <w:numPr>
          <w:ilvl w:val="0"/>
          <w:numId w:val="1024"/>
        </w:numPr>
      </w:pPr>
      <w:r>
        <w:t xml:space="preserve">QA scenarios deberían alimentar la matriz de trade-offs;</w:t>
      </w:r>
    </w:p>
    <w:p>
      <w:pPr>
        <w:pStyle w:val="Compact"/>
        <w:numPr>
          <w:ilvl w:val="0"/>
          <w:numId w:val="1024"/>
        </w:numPr>
      </w:pPr>
      <w:r>
        <w:t xml:space="preserve">trade-offs deberían alimentar ADRs;</w:t>
      </w:r>
    </w:p>
    <w:p>
      <w:pPr>
        <w:pStyle w:val="Compact"/>
        <w:numPr>
          <w:ilvl w:val="0"/>
          <w:numId w:val="1024"/>
        </w:numPr>
      </w:pPr>
      <w:r>
        <w:t xml:space="preserve">bounded contexts deberían alimentar C4 y contratos;</w:t>
      </w:r>
    </w:p>
    <w:p>
      <w:pPr>
        <w:pStyle w:val="Compact"/>
        <w:numPr>
          <w:ilvl w:val="0"/>
          <w:numId w:val="1024"/>
        </w:numPr>
      </w:pPr>
      <w:r>
        <w:t xml:space="preserve">ports/adapters deberían derivarse de las conversaciones entre contextos;</w:t>
      </w:r>
    </w:p>
    <w:p>
      <w:pPr>
        <w:pStyle w:val="Compact"/>
        <w:numPr>
          <w:ilvl w:val="0"/>
          <w:numId w:val="1024"/>
        </w:numPr>
      </w:pPr>
      <w:r>
        <w:t xml:space="preserve">consumer contracts deberían relacionarse con S41.</w:t>
      </w:r>
    </w:p>
    <w:bookmarkEnd w:id="49"/>
    <w:bookmarkStart w:id="50" w:name="comparison-with-best-in-class-materials"/>
    <w:p>
      <w:pPr>
        <w:pStyle w:val="Heading3"/>
      </w:pPr>
      <w:r>
        <w:t xml:space="preserve">Comparison with best-in-class materials</w:t>
      </w:r>
    </w:p>
    <w:p>
      <w:pPr>
        <w:pStyle w:val="FirstParagraph"/>
      </w:pPr>
      <w:r>
        <w:t xml:space="preserve">Los mejores materiales de arquitectura separan:</w:t>
      </w:r>
    </w:p>
    <w:p>
      <w:pPr>
        <w:pStyle w:val="Compact"/>
        <w:numPr>
          <w:ilvl w:val="0"/>
          <w:numId w:val="1025"/>
        </w:numPr>
      </w:pPr>
      <w:r>
        <w:t xml:space="preserve">descubrimiento;</w:t>
      </w:r>
    </w:p>
    <w:p>
      <w:pPr>
        <w:pStyle w:val="Compact"/>
        <w:numPr>
          <w:ilvl w:val="0"/>
          <w:numId w:val="1025"/>
        </w:numPr>
      </w:pPr>
      <w:r>
        <w:t xml:space="preserve">representación;</w:t>
      </w:r>
    </w:p>
    <w:p>
      <w:pPr>
        <w:pStyle w:val="Compact"/>
        <w:numPr>
          <w:ilvl w:val="0"/>
          <w:numId w:val="1025"/>
        </w:numPr>
      </w:pPr>
      <w:r>
        <w:t xml:space="preserve">decisión;</w:t>
      </w:r>
    </w:p>
    <w:p>
      <w:pPr>
        <w:pStyle w:val="Compact"/>
        <w:numPr>
          <w:ilvl w:val="0"/>
          <w:numId w:val="1025"/>
        </w:numPr>
      </w:pPr>
      <w:r>
        <w:t xml:space="preserve">documentación;</w:t>
      </w:r>
    </w:p>
    <w:p>
      <w:pPr>
        <w:pStyle w:val="Compact"/>
        <w:numPr>
          <w:ilvl w:val="0"/>
          <w:numId w:val="1025"/>
        </w:numPr>
      </w:pPr>
      <w:r>
        <w:t xml:space="preserve">validación;</w:t>
      </w:r>
    </w:p>
    <w:p>
      <w:pPr>
        <w:pStyle w:val="Compact"/>
        <w:numPr>
          <w:ilvl w:val="0"/>
          <w:numId w:val="1025"/>
        </w:numPr>
      </w:pPr>
      <w:r>
        <w:t xml:space="preserve">evolución.</w:t>
      </w:r>
    </w:p>
    <w:p>
      <w:pPr>
        <w:pStyle w:val="FirstParagraph"/>
      </w:pPr>
      <w:r>
        <w:t xml:space="preserve">También muestran artefactos completos y comparaciones críticas. S40 cita fuentes adecuadas, pero las comprime en predicados Python. Las referencias están mejor seleccionadas que implementadas pedagógicamente.</w:t>
      </w:r>
    </w:p>
    <w:bookmarkEnd w:id="50"/>
    <w:bookmarkEnd w:id="51"/>
    <w:bookmarkStart w:id="62" w:name="proposed-github-style-diffs"/>
    <w:p>
      <w:pPr>
        <w:pStyle w:val="Heading2"/>
      </w:pPr>
      <w:r>
        <w:t xml:space="preserve">6. Proposed GitHub-style Diffs</w:t>
      </w:r>
    </w:p>
    <w:p>
      <w:pPr>
        <w:pStyle w:val="FirstParagraph"/>
      </w:pPr>
      <w:r>
        <w:t xml:space="preserve">Los parches completos, uno por issue o grupo lógico, se incluyen en el archivo descargable. Los cambios prioritarios son:</w:t>
      </w:r>
    </w:p>
    <w:bookmarkStart w:id="52" w:name="diff-1-corregir-bounded-contexts"/>
    <w:p>
      <w:pPr>
        <w:pStyle w:val="Heading3"/>
      </w:pPr>
      <w:r>
        <w:t xml:space="preserve">Diff 1 — Corregir bounded contexts</w:t>
      </w:r>
    </w:p>
    <w:p>
      <w:pPr>
        <w:pStyle w:val="SourceCode"/>
      </w:pPr>
      <w:r>
        <w:rPr>
          <w:rStyle w:val="StringTok"/>
        </w:rPr>
        <w:t xml:space="preserve">- Salida: glosarios disjuntos más al menos una traducción explícita.</w:t>
      </w:r>
      <w:r>
        <w:br/>
      </w:r>
      <w:r>
        <w:rPr>
          <w:rStyle w:val="VariableTok"/>
        </w:rPr>
        <w:t xml:space="preserve">+ Salida: significado, invariantes y ownership explícitos por contexto.</w:t>
      </w:r>
      <w:r>
        <w:br/>
      </w:r>
      <w:r>
        <w:rPr>
          <w:rStyle w:val="VariableTok"/>
        </w:rPr>
        <w:t xml:space="preserve">+ Los contextos pueden compartir términos. Cuando un término compartido</w:t>
      </w:r>
      <w:r>
        <w:br/>
      </w:r>
      <w:r>
        <w:rPr>
          <w:rStyle w:val="VariableTok"/>
        </w:rPr>
        <w:t xml:space="preserve">+ cambia de significado o estructura, documenta el mapping o ACL.</w:t>
      </w:r>
      <w:r>
        <w:br/>
      </w:r>
      <w:r>
        <w:br/>
      </w:r>
      <w:r>
        <w:rPr>
          <w:rStyle w:val="StringTok"/>
        </w:rPr>
        <w:t xml:space="preserve">-def contexts_ok(intake: set, er: set, translations: dict) -&gt; bool:</w:t>
      </w:r>
      <w:r>
        <w:br/>
      </w:r>
      <w:r>
        <w:rPr>
          <w:rStyle w:val="StringTok"/>
        </w:rPr>
        <w:t xml:space="preserve">-    return intake.isdisjoint(er) and translations.get("case") == "record"</w:t>
      </w:r>
      <w:r>
        <w:br/>
      </w:r>
      <w:r>
        <w:rPr>
          <w:rStyle w:val="VariableTok"/>
        </w:rPr>
        <w:t xml:space="preserve">+def contexts_ok(definitions: dict, mappings: dict) -&gt; bool:</w:t>
      </w:r>
      <w:r>
        <w:br/>
      </w:r>
      <w:r>
        <w:rPr>
          <w:rStyle w:val="VariableTok"/>
        </w:rPr>
        <w:t xml:space="preserve">+    required = {("intake", "case"), ("er", "case")}</w:t>
      </w:r>
      <w:r>
        <w:br/>
      </w:r>
      <w:r>
        <w:rPr>
          <w:rStyle w:val="VariableTok"/>
        </w:rPr>
        <w:t xml:space="preserve">+    has_local_meaning = all(</w:t>
      </w:r>
      <w:r>
        <w:br/>
      </w:r>
      <w:r>
        <w:rPr>
          <w:rStyle w:val="VariableTok"/>
        </w:rPr>
        <w:t xml:space="preserve">+        definitions.get(context, {}).get(term)</w:t>
      </w:r>
      <w:r>
        <w:br/>
      </w:r>
      <w:r>
        <w:rPr>
          <w:rStyle w:val="VariableTok"/>
        </w:rPr>
        <w:t xml:space="preserve">+        for context, term in required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    has_explicit_mapping = mappings.get("intake.case") == "er.case"</w:t>
      </w:r>
      <w:r>
        <w:br/>
      </w:r>
      <w:r>
        <w:rPr>
          <w:rStyle w:val="VariableTok"/>
        </w:rPr>
        <w:t xml:space="preserve">+    return has_local_meaning and has_explicit_mapping</w:t>
      </w:r>
    </w:p>
    <w:bookmarkEnd w:id="52"/>
    <w:bookmarkStart w:id="53" w:name="diff-2-implementar-un-vo-real"/>
    <w:p>
      <w:pPr>
        <w:pStyle w:val="Heading3"/>
      </w:pPr>
      <w:r>
        <w:t xml:space="preserve">Diff 2 — Implementar un VO real</w:t>
      </w:r>
    </w:p>
    <w:p>
      <w:pPr>
        <w:pStyle w:val="SourceCode"/>
      </w:pPr>
      <w:r>
        <w:rPr>
          <w:rStyle w:val="VariableTok"/>
        </w:rPr>
        <w:t xml:space="preserve">+from dataclasses import dataclass</w:t>
      </w:r>
      <w:r>
        <w:br/>
      </w:r>
      <w:r>
        <w:rPr>
          <w:rStyle w:val="VariableTok"/>
        </w:rPr>
        <w:t xml:space="preserve">+from decimal import Decimal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+@dataclass(frozen=True)</w:t>
      </w:r>
      <w:r>
        <w:br/>
      </w:r>
      <w:r>
        <w:rPr>
          <w:rStyle w:val="VariableTok"/>
        </w:rPr>
        <w:t xml:space="preserve">+class Money:</w:t>
      </w:r>
      <w:r>
        <w:br/>
      </w:r>
      <w:r>
        <w:rPr>
          <w:rStyle w:val="VariableTok"/>
        </w:rPr>
        <w:t xml:space="preserve">+    amount: Decimal</w:t>
      </w:r>
      <w:r>
        <w:br/>
      </w:r>
      <w:r>
        <w:rPr>
          <w:rStyle w:val="VariableTok"/>
        </w:rPr>
        <w:t xml:space="preserve">+    currency: str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def __post_init__(self):</w:t>
      </w:r>
      <w:r>
        <w:br/>
      </w:r>
      <w:r>
        <w:rPr>
          <w:rStyle w:val="VariableTok"/>
        </w:rPr>
        <w:t xml:space="preserve">+        if self.amount &lt; 0:</w:t>
      </w:r>
      <w:r>
        <w:br/>
      </w:r>
      <w:r>
        <w:rPr>
          <w:rStyle w:val="VariableTok"/>
        </w:rPr>
        <w:t xml:space="preserve">+            raise ValueError("amount must be non-negative")</w:t>
      </w:r>
      <w:r>
        <w:br/>
      </w:r>
      <w:r>
        <w:rPr>
          <w:rStyle w:val="VariableTok"/>
        </w:rPr>
        <w:t xml:space="preserve">+        if self.currency != "PEN":</w:t>
      </w:r>
      <w:r>
        <w:br/>
      </w:r>
      <w:r>
        <w:rPr>
          <w:rStyle w:val="VariableTok"/>
        </w:rPr>
        <w:t xml:space="preserve">+            raise ValueError("unsupported currency")</w:t>
      </w:r>
    </w:p>
    <w:bookmarkEnd w:id="53"/>
    <w:bookmarkStart w:id="54" w:name="Xb43f0e15774f1c882740cddd42c00c127cfbcae"/>
    <w:p>
      <w:pPr>
        <w:pStyle w:val="Heading3"/>
      </w:pPr>
      <w:r>
        <w:t xml:space="preserve">Diff 3 — Reemplazar flags de DIP por contract tests</w:t>
      </w:r>
    </w:p>
    <w:p>
      <w:pPr>
        <w:pStyle w:val="SourceCode"/>
      </w:pPr>
      <w:r>
        <w:rPr>
          <w:rStyle w:val="StringTok"/>
        </w:rPr>
        <w:t xml:space="preserve">-implements_port = True</w:t>
      </w:r>
      <w:r>
        <w:br/>
      </w:r>
      <w:r>
        <w:rPr>
          <w:rStyle w:val="StringTok"/>
        </w:rPr>
        <w:t xml:space="preserve">-contract_tests = 3</w:t>
      </w:r>
      <w:r>
        <w:br/>
      </w:r>
      <w:r>
        <w:rPr>
          <w:rStyle w:val="VariableTok"/>
        </w:rPr>
        <w:t xml:space="preserve">+def repository_contract(repo: CaseRepository) -&gt; None:</w:t>
      </w:r>
      <w:r>
        <w:br/>
      </w:r>
      <w:r>
        <w:rPr>
          <w:rStyle w:val="VariableTok"/>
        </w:rPr>
        <w:t xml:space="preserve">+    saved = repo.save(Case("CASE-001"))</w:t>
      </w:r>
      <w:r>
        <w:br/>
      </w:r>
      <w:r>
        <w:rPr>
          <w:rStyle w:val="VariableTok"/>
        </w:rPr>
        <w:t xml:space="preserve">+    assert saved.case_id == "CASE-001"</w:t>
      </w:r>
      <w:r>
        <w:br/>
      </w:r>
      <w:r>
        <w:rPr>
          <w:rStyle w:val="VariableTok"/>
        </w:rPr>
        <w:t xml:space="preserve">+    assert repo.get("CASE-001") == saved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+repository_contract(MemoryCaseRepository())</w:t>
      </w:r>
      <w:r>
        <w:br/>
      </w:r>
      <w:r>
        <w:rPr>
          <w:rStyle w:val="VariableTok"/>
        </w:rPr>
        <w:t xml:space="preserve">+repository_contract(SqlCaseRepository(test_connection))</w:t>
      </w:r>
    </w:p>
    <w:bookmarkEnd w:id="54"/>
    <w:bookmarkStart w:id="55" w:name="X98d87a5a2bad2752c6758f78ee4c0d816a42cdc"/>
    <w:p>
      <w:pPr>
        <w:pStyle w:val="Heading3"/>
      </w:pPr>
      <w:r>
        <w:t xml:space="preserve">Diff 4 — C4 con relaciones y responsabilidades</w:t>
      </w:r>
    </w:p>
    <w:p>
      <w:pPr>
        <w:pStyle w:val="SourceCode"/>
      </w:pPr>
      <w:r>
        <w:rPr>
          <w:rStyle w:val="NormalTok"/>
        </w:rPr>
        <w:t xml:space="preserve"> c4 = {</w:t>
      </w:r>
      <w:r>
        <w:br/>
      </w:r>
      <w:r>
        <w:rPr>
          <w:rStyle w:val="StringTok"/>
        </w:rPr>
        <w:t xml:space="preserve">-    "context": ["analista_triage", "banco_partner"],</w:t>
      </w:r>
      <w:r>
        <w:br/>
      </w:r>
      <w:r>
        <w:rPr>
          <w:rStyle w:val="StringTok"/>
        </w:rPr>
        <w:t xml:space="preserve">-    "container": ["api", "worker", "db", "object_store"],</w:t>
      </w:r>
      <w:r>
        <w:br/>
      </w:r>
      <w:r>
        <w:rPr>
          <w:rStyle w:val="VariableTok"/>
        </w:rPr>
        <w:t xml:space="preserve">+    "people": [</w:t>
      </w:r>
      <w:r>
        <w:br/>
      </w:r>
      <w:r>
        <w:rPr>
          <w:rStyle w:val="VariableTok"/>
        </w:rPr>
        <w:t xml:space="preserve">+        {"id": "analyst", "description": "Revisa evidencia y decide"},</w:t>
      </w:r>
      <w:r>
        <w:br/>
      </w:r>
      <w:r>
        <w:rPr>
          <w:rStyle w:val="VariableTok"/>
        </w:rPr>
        <w:t xml:space="preserve">+    ],</w:t>
      </w:r>
      <w:r>
        <w:br/>
      </w:r>
      <w:r>
        <w:rPr>
          <w:rStyle w:val="VariableTok"/>
        </w:rPr>
        <w:t xml:space="preserve">+    "systems": [</w:t>
      </w:r>
      <w:r>
        <w:br/>
      </w:r>
      <w:r>
        <w:rPr>
          <w:rStyle w:val="VariableTok"/>
        </w:rPr>
        <w:t xml:space="preserve">+        {"id": "partner", "description": "Envía casos sintéticos"},</w:t>
      </w:r>
      <w:r>
        <w:br/>
      </w:r>
      <w:r>
        <w:rPr>
          <w:rStyle w:val="VariableTok"/>
        </w:rPr>
        <w:t xml:space="preserve">+        {"id": "platform", "description": "Orquesta intake y triage"},</w:t>
      </w:r>
      <w:r>
        <w:br/>
      </w:r>
      <w:r>
        <w:rPr>
          <w:rStyle w:val="VariableTok"/>
        </w:rPr>
        <w:t xml:space="preserve">+    ],</w:t>
      </w:r>
      <w:r>
        <w:br/>
      </w:r>
      <w:r>
        <w:rPr>
          <w:rStyle w:val="VariableTok"/>
        </w:rPr>
        <w:t xml:space="preserve">+    "containers": [</w:t>
      </w:r>
      <w:r>
        <w:br/>
      </w:r>
      <w:r>
        <w:rPr>
          <w:rStyle w:val="VariableTok"/>
        </w:rPr>
        <w:t xml:space="preserve">+        {"id": "api", "technology": "FastAPI", "responsibility": "Acepta jobs"},</w:t>
      </w:r>
      <w:r>
        <w:br/>
      </w:r>
      <w:r>
        <w:rPr>
          <w:rStyle w:val="VariableTok"/>
        </w:rPr>
        <w:t xml:space="preserve">+        {"id": "worker", "technology": "Python", "responsibility": "Procesa jobs"},</w:t>
      </w:r>
      <w:r>
        <w:br/>
      </w:r>
      <w:r>
        <w:rPr>
          <w:rStyle w:val="VariableTok"/>
        </w:rPr>
        <w:t xml:space="preserve">+        {"id": "db", "technology": "PostgreSQL", "responsibility": "Estado"},</w:t>
      </w:r>
      <w:r>
        <w:br/>
      </w:r>
      <w:r>
        <w:rPr>
          <w:rStyle w:val="VariableTok"/>
        </w:rPr>
        <w:t xml:space="preserve">+    ],</w:t>
      </w:r>
      <w:r>
        <w:br/>
      </w:r>
      <w:r>
        <w:rPr>
          <w:rStyle w:val="VariableTok"/>
        </w:rPr>
        <w:t xml:space="preserve">+    "relationships": [</w:t>
      </w:r>
      <w:r>
        <w:br/>
      </w:r>
      <w:r>
        <w:rPr>
          <w:rStyle w:val="VariableTok"/>
        </w:rPr>
        <w:t xml:space="preserve">+        {"from": "partner", "to": "api", "protocol": "HTTPS"},</w:t>
      </w:r>
      <w:r>
        <w:br/>
      </w:r>
      <w:r>
        <w:rPr>
          <w:rStyle w:val="VariableTok"/>
        </w:rPr>
        <w:t xml:space="preserve">+        {"from": "api", "to": "worker", "protocol": "queue"},</w:t>
      </w:r>
      <w:r>
        <w:br/>
      </w:r>
      <w:r>
        <w:rPr>
          <w:rStyle w:val="VariableTok"/>
        </w:rPr>
        <w:t xml:space="preserve">+    ],</w:t>
      </w:r>
      <w:r>
        <w:br/>
      </w:r>
      <w:r>
        <w:rPr>
          <w:rStyle w:val="NormalTok"/>
        </w:rPr>
        <w:t xml:space="preserve"> }</w:t>
      </w:r>
    </w:p>
    <w:bookmarkEnd w:id="55"/>
    <w:bookmarkStart w:id="56" w:name="diff-5-adr-por-calidad-no-solo-presencia"/>
    <w:p>
      <w:pPr>
        <w:pStyle w:val="Heading3"/>
      </w:pPr>
      <w:r>
        <w:t xml:space="preserve">Diff 5 — ADR por calidad, no solo presencia</w:t>
      </w:r>
    </w:p>
    <w:p>
      <w:pPr>
        <w:pStyle w:val="SourceCode"/>
      </w:pPr>
      <w:r>
        <w:rPr>
          <w:rStyle w:val="VariableTok"/>
        </w:rPr>
        <w:t xml:space="preserve">+def adr_quality(adr: dict) -&gt; list[str]:</w:t>
      </w:r>
      <w:r>
        <w:br/>
      </w:r>
      <w:r>
        <w:rPr>
          <w:rStyle w:val="VariableTok"/>
        </w:rPr>
        <w:t xml:space="preserve">+    errors = []</w:t>
      </w:r>
      <w:r>
        <w:br/>
      </w:r>
      <w:r>
        <w:rPr>
          <w:rStyle w:val="VariableTok"/>
        </w:rPr>
        <w:t xml:space="preserve">+    if len(adr.get("alternatives", [])) &lt; 2:</w:t>
      </w:r>
      <w:r>
        <w:br/>
      </w:r>
      <w:r>
        <w:rPr>
          <w:rStyle w:val="VariableTok"/>
        </w:rPr>
        <w:t xml:space="preserve">+        errors.append("NEED_TWO_ALTERNATIVES")</w:t>
      </w:r>
      <w:r>
        <w:br/>
      </w:r>
      <w:r>
        <w:rPr>
          <w:rStyle w:val="VariableTok"/>
        </w:rPr>
        <w:t xml:space="preserve">+    if not adr.get("driver_ids"):</w:t>
      </w:r>
      <w:r>
        <w:br/>
      </w:r>
      <w:r>
        <w:rPr>
          <w:rStyle w:val="VariableTok"/>
        </w:rPr>
        <w:t xml:space="preserve">+        errors.append("MISSING_DRIVER_TRACE")</w:t>
      </w:r>
      <w:r>
        <w:br/>
      </w:r>
      <w:r>
        <w:rPr>
          <w:rStyle w:val="VariableTok"/>
        </w:rPr>
        <w:t xml:space="preserve">+    if not adr.get("owner"):</w:t>
      </w:r>
      <w:r>
        <w:br/>
      </w:r>
      <w:r>
        <w:rPr>
          <w:rStyle w:val="VariableTok"/>
        </w:rPr>
        <w:t xml:space="preserve">+        errors.append("MISSING_OWNER")</w:t>
      </w:r>
      <w:r>
        <w:br/>
      </w:r>
      <w:r>
        <w:rPr>
          <w:rStyle w:val="VariableTok"/>
        </w:rPr>
        <w:t xml:space="preserve">+    if not adr.get("rollback_signal"):</w:t>
      </w:r>
      <w:r>
        <w:br/>
      </w:r>
      <w:r>
        <w:rPr>
          <w:rStyle w:val="VariableTok"/>
        </w:rPr>
        <w:t xml:space="preserve">+        errors.append("MISSING_ROLLBACK_SIGNAL")</w:t>
      </w:r>
      <w:r>
        <w:br/>
      </w:r>
      <w:r>
        <w:rPr>
          <w:rStyle w:val="VariableTok"/>
        </w:rPr>
        <w:t xml:space="preserve">+    if not any(c.get("type") == "cost" for c in adr.get("consequences", [])):</w:t>
      </w:r>
      <w:r>
        <w:br/>
      </w:r>
      <w:r>
        <w:rPr>
          <w:rStyle w:val="VariableTok"/>
        </w:rPr>
        <w:t xml:space="preserve">+        errors.append("MISSING_RESIDUAL_COST")</w:t>
      </w:r>
      <w:r>
        <w:br/>
      </w:r>
      <w:r>
        <w:rPr>
          <w:rStyle w:val="VariableTok"/>
        </w:rPr>
        <w:t xml:space="preserve">+    return errors</w:t>
      </w:r>
    </w:p>
    <w:bookmarkEnd w:id="56"/>
    <w:bookmarkStart w:id="57" w:name="X120d1c61dd9818e862565b5cd701c1796a54bc1"/>
    <w:p>
      <w:pPr>
        <w:pStyle w:val="Heading3"/>
      </w:pPr>
      <w:r>
        <w:t xml:space="preserve">Diff 6 — Evidencia You Do derivada automáticamente</w:t>
      </w:r>
    </w:p>
    <w:p>
      <w:pPr>
        <w:pStyle w:val="SourceCode"/>
      </w:pPr>
      <w:r>
        <w:rPr>
          <w:rStyle w:val="StringTok"/>
        </w:rPr>
        <w:t xml:space="preserve">-evidence["context_map"] = True</w:t>
      </w:r>
      <w:r>
        <w:br/>
      </w:r>
      <w:r>
        <w:rPr>
          <w:rStyle w:val="VariableTok"/>
        </w:rPr>
        <w:t xml:space="preserve">+evidence["context_map"] = validate_context_map(</w:t>
      </w:r>
      <w:r>
        <w:br/>
      </w:r>
      <w:r>
        <w:rPr>
          <w:rStyle w:val="VariableTok"/>
        </w:rPr>
        <w:t xml:space="preserve">+    Path("architecture/context-map.yaml")</w:t>
      </w:r>
      <w:r>
        <w:br/>
      </w:r>
      <w:r>
        <w:rPr>
          <w:rStyle w:val="VariableTok"/>
        </w:rPr>
        <w:t xml:space="preserve">+)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StringTok"/>
        </w:rPr>
        <w:t xml:space="preserve">-evidence["adrs_x2"] = adrs_accepted(adrs)</w:t>
      </w:r>
      <w:r>
        <w:br/>
      </w:r>
      <w:r>
        <w:rPr>
          <w:rStyle w:val="VariableTok"/>
        </w:rPr>
        <w:t xml:space="preserve">+evidence["adrs_x2"] = validate_adr_directory(</w:t>
      </w:r>
      <w:r>
        <w:br/>
      </w:r>
      <w:r>
        <w:rPr>
          <w:rStyle w:val="VariableTok"/>
        </w:rPr>
        <w:t xml:space="preserve">+    Path("architecture/decisions")</w:t>
      </w:r>
      <w:r>
        <w:br/>
      </w:r>
      <w:r>
        <w:rPr>
          <w:rStyle w:val="VariableTok"/>
        </w:rPr>
        <w:t xml:space="preserve">+)</w:t>
      </w:r>
    </w:p>
    <w:bookmarkEnd w:id="57"/>
    <w:bookmarkStart w:id="58" w:name="diff-7-variar-los-formatos-de-práctica"/>
    <w:p>
      <w:pPr>
        <w:pStyle w:val="Heading3"/>
      </w:pPr>
      <w:r>
        <w:t xml:space="preserve">Diff 7 — Variar los formatos de práctica</w:t>
      </w:r>
    </w:p>
    <w:p>
      <w:pPr>
        <w:pStyle w:val="SourceCode"/>
      </w:pPr>
      <w:r>
        <w:rPr>
          <w:rStyle w:val="StringTok"/>
        </w:rPr>
        <w:t xml:space="preserve">- E1: corrige el predicado.</w:t>
      </w:r>
      <w:r>
        <w:br/>
      </w:r>
      <w:r>
        <w:rPr>
          <w:rStyle w:val="StringTok"/>
        </w:rPr>
        <w:t xml:space="preserve">- E2: clasifica válido/adverso/missing.</w:t>
      </w:r>
      <w:r>
        <w:br/>
      </w:r>
      <w:r>
        <w:rPr>
          <w:rStyle w:val="StringTok"/>
        </w:rPr>
        <w:t xml:space="preserve">- E3: cambia CONTINUE/BLOCK/REQUEST.</w:t>
      </w:r>
      <w:r>
        <w:br/>
      </w:r>
      <w:r>
        <w:rPr>
          <w:rStyle w:val="VariableTok"/>
        </w:rPr>
        <w:t xml:space="preserve">+ E1: completa un artefacto parcialmente resuelto con think-aloud.</w:t>
      </w:r>
      <w:r>
        <w:br/>
      </w:r>
      <w:r>
        <w:rPr>
          <w:rStyle w:val="VariableTok"/>
        </w:rPr>
        <w:t xml:space="preserve">+ E2: critica dos diseños y fundamenta cuál satisface los drivers.</w:t>
      </w:r>
      <w:r>
        <w:br/>
      </w:r>
      <w:r>
        <w:rPr>
          <w:rStyle w:val="VariableTok"/>
        </w:rPr>
        <w:t xml:space="preserve">+ E3: produce un artefacto nuevo para un contexto distinto y defiéndelo</w:t>
      </w:r>
      <w:r>
        <w:br/>
      </w:r>
      <w:r>
        <w:rPr>
          <w:rStyle w:val="VariableTok"/>
        </w:rPr>
        <w:t xml:space="preserve">+     mediante una nota de decisión o revisión entre pares.</w:t>
      </w:r>
    </w:p>
    <w:bookmarkEnd w:id="58"/>
    <w:bookmarkStart w:id="59" w:name="diff-8-fortalecer-examen"/>
    <w:p>
      <w:pPr>
        <w:pStyle w:val="Heading3"/>
      </w:pPr>
      <w:r>
        <w:t xml:space="preserve">Diff 8 — Fortalecer examen</w:t>
      </w:r>
    </w:p>
    <w:p>
      <w:pPr>
        <w:pStyle w:val="SourceCode"/>
      </w:pPr>
      <w:r>
        <w:rPr>
          <w:rStyle w:val="StringTok"/>
        </w:rPr>
        <w:t xml:space="preserve">- correctIndex: 1</w:t>
      </w:r>
      <w:r>
        <w:br/>
      </w:r>
      <w:r>
        <w:rPr>
          <w:rStyle w:val="VariableTok"/>
        </w:rPr>
        <w:t xml:space="preserve">+ correctIndex: randomizedPosition</w:t>
      </w:r>
      <w:r>
        <w:br/>
      </w:r>
      <w:r>
        <w:br/>
      </w:r>
      <w:r>
        <w:rPr>
          <w:rStyle w:val="StringTok"/>
        </w:rPr>
        <w:t xml:space="preserve">- "El color del logo"</w:t>
      </w:r>
      <w:r>
        <w:br/>
      </w:r>
      <w:r>
        <w:rPr>
          <w:rStyle w:val="VariableTok"/>
        </w:rPr>
        <w:t xml:space="preserve">+ "Separar por equipo organizacional aunque compartan invariantes y ciclo de cambio"</w:t>
      </w:r>
      <w:r>
        <w:br/>
      </w:r>
      <w:r>
        <w:br/>
      </w:r>
      <w:r>
        <w:rPr>
          <w:rStyle w:val="StringTok"/>
        </w:rPr>
        <w:t xml:space="preserve">- "Un ADR sin decisión"</w:t>
      </w:r>
      <w:r>
        <w:br/>
      </w:r>
      <w:r>
        <w:rPr>
          <w:rStyle w:val="VariableTok"/>
        </w:rPr>
        <w:t xml:space="preserve">+ "Una restricción de negocio expresada como escenario no medible"</w:t>
      </w:r>
    </w:p>
    <w:bookmarkEnd w:id="59"/>
    <w:bookmarkStart w:id="60" w:name="diff-9-resolver-contradicción-del-ledger"/>
    <w:p>
      <w:pPr>
        <w:pStyle w:val="Heading3"/>
      </w:pPr>
      <w:r>
        <w:t xml:space="preserve">Diff 9 — Resolver contradicción del ledger</w:t>
      </w:r>
    </w:p>
    <w:p>
      <w:pPr>
        <w:pStyle w:val="SourceCode"/>
      </w:pPr>
      <w:r>
        <w:rPr>
          <w:rStyle w:val="StringTok"/>
        </w:rPr>
        <w:t xml:space="preserve">- "state": "passed",</w:t>
      </w:r>
      <w:r>
        <w:br/>
      </w:r>
      <w:r>
        <w:rPr>
          <w:rStyle w:val="StringTok"/>
        </w:rPr>
        <w:t xml:space="preserve">- "phase_detail": "PHASE_6_PASSED",</w:t>
      </w:r>
      <w:r>
        <w:br/>
      </w:r>
      <w:r>
        <w:rPr>
          <w:rStyle w:val="StringTok"/>
        </w:rPr>
        <w:t xml:space="preserve">- "notes": "PHASE 4 complete; exam+P6 pending | V3 section close wave complete"</w:t>
      </w:r>
      <w:r>
        <w:br/>
      </w:r>
      <w:r>
        <w:rPr>
          <w:rStyle w:val="VariableTok"/>
        </w:rPr>
        <w:t xml:space="preserve">+ "state": "in_review",</w:t>
      </w:r>
      <w:r>
        <w:br/>
      </w:r>
      <w:r>
        <w:rPr>
          <w:rStyle w:val="VariableTok"/>
        </w:rPr>
        <w:t xml:space="preserve">+ "phase_detail": "PHASE_4_COMPLETE",</w:t>
      </w:r>
      <w:r>
        <w:br/>
      </w:r>
      <w:r>
        <w:rPr>
          <w:rStyle w:val="VariableTok"/>
        </w:rPr>
        <w:t xml:space="preserve">+ "next_phase": "PHASE_5_EXAM_REVIEW",</w:t>
      </w:r>
      <w:r>
        <w:br/>
      </w:r>
      <w:r>
        <w:rPr>
          <w:rStyle w:val="VariableTok"/>
        </w:rPr>
        <w:t xml:space="preserve">+ "notes": "Content authored; exam equivalence and Phase 6 closure pending"</w:t>
      </w:r>
    </w:p>
    <w:bookmarkEnd w:id="60"/>
    <w:bookmarkStart w:id="61" w:name="diff-10-normalizar-redacción"/>
    <w:p>
      <w:pPr>
        <w:pStyle w:val="Heading3"/>
      </w:pPr>
      <w:r>
        <w:t xml:space="preserve">Diff 10 — Normalizar redacción</w:t>
      </w:r>
    </w:p>
    <w:p>
      <w:pPr>
        <w:pStyle w:val="SourceCode"/>
      </w:pPr>
      <w:r>
        <w:rPr>
          <w:rStyle w:val="StringTok"/>
        </w:rPr>
        <w:t xml:space="preserve">- "Rúbrica de calidad de un ADR (úsa la en You Do...)"</w:t>
      </w:r>
      <w:r>
        <w:br/>
      </w:r>
      <w:r>
        <w:rPr>
          <w:rStyle w:val="VariableTok"/>
        </w:rPr>
        <w:t xml:space="preserve">+ "Rúbrica de calidad de un ADR (úsala en la práctica independiente...)"</w:t>
      </w:r>
      <w:r>
        <w:br/>
      </w:r>
      <w:r>
        <w:br/>
      </w:r>
      <w:r>
        <w:rPr>
          <w:rStyle w:val="StringTok"/>
        </w:rPr>
        <w:t xml:space="preserve">- "owner"</w:t>
      </w:r>
      <w:r>
        <w:br/>
      </w:r>
      <w:r>
        <w:rPr>
          <w:rStyle w:val="VariableTok"/>
        </w:rPr>
        <w:t xml:space="preserve">+ "responsable"</w:t>
      </w:r>
      <w:r>
        <w:br/>
      </w:r>
      <w:r>
        <w:br/>
      </w:r>
      <w:r>
        <w:rPr>
          <w:rStyle w:val="StringTok"/>
        </w:rPr>
        <w:t xml:space="preserve">- "breach"</w:t>
      </w:r>
      <w:r>
        <w:br/>
      </w:r>
      <w:r>
        <w:rPr>
          <w:rStyle w:val="VariableTok"/>
        </w:rPr>
        <w:t xml:space="preserve">+ "incumplimiento"</w:t>
      </w:r>
      <w:r>
        <w:br/>
      </w:r>
      <w:r>
        <w:br/>
      </w:r>
      <w:r>
        <w:rPr>
          <w:rStyle w:val="StringTok"/>
        </w:rPr>
        <w:t xml:space="preserve">- "promote"</w:t>
      </w:r>
      <w:r>
        <w:br/>
      </w:r>
      <w:r>
        <w:rPr>
          <w:rStyle w:val="VariableTok"/>
        </w:rPr>
        <w:t xml:space="preserve">+ "aprobar"</w:t>
      </w:r>
    </w:p>
    <w:bookmarkEnd w:id="61"/>
    <w:bookmarkEnd w:id="62"/>
    <w:bookmarkStart w:id="67" w:name="recommended-priority-order-for-fixing"/>
    <w:p>
      <w:pPr>
        <w:pStyle w:val="Heading2"/>
      </w:pPr>
      <w:r>
        <w:t xml:space="preserve">7. Recommended Priority Order for Fixing</w:t>
      </w:r>
    </w:p>
    <w:bookmarkStart w:id="63" w:name="p0-antes-de-cualquier-nueva-liberación"/>
    <w:p>
      <w:pPr>
        <w:pStyle w:val="Heading3"/>
      </w:pPr>
      <w:r>
        <w:t xml:space="preserve">P0 — Antes de cualquier nueva liberación</w:t>
      </w:r>
    </w:p>
    <w:p>
      <w:pPr>
        <w:pStyle w:val="Compact"/>
        <w:numPr>
          <w:ilvl w:val="0"/>
          <w:numId w:val="1026"/>
        </w:numPr>
      </w:pPr>
      <w:r>
        <w:t xml:space="preserve">Corregir la regla de bounded contexts.</w:t>
      </w:r>
    </w:p>
    <w:p>
      <w:pPr>
        <w:pStyle w:val="Compact"/>
        <w:numPr>
          <w:ilvl w:val="0"/>
          <w:numId w:val="1026"/>
        </w:numPr>
      </w:pPr>
      <w:r>
        <w:t xml:space="preserve">Alinear teoría, ejercicios, examen y proyecto con la regla corregida.</w:t>
      </w:r>
    </w:p>
    <w:p>
      <w:pPr>
        <w:pStyle w:val="Compact"/>
        <w:numPr>
          <w:ilvl w:val="0"/>
          <w:numId w:val="1026"/>
        </w:numPr>
      </w:pPr>
      <w:r>
        <w:t xml:space="preserve">Resolver la contradicción del ledger.</w:t>
      </w:r>
    </w:p>
    <w:p>
      <w:pPr>
        <w:pStyle w:val="Compact"/>
        <w:numPr>
          <w:ilvl w:val="0"/>
          <w:numId w:val="1026"/>
        </w:numPr>
      </w:pPr>
      <w:r>
        <w:t xml:space="preserve">Sustituir el gate manual del You Do por validación de artefactos.</w:t>
      </w:r>
    </w:p>
    <w:bookmarkEnd w:id="63"/>
    <w:bookmarkStart w:id="64" w:name="p1-para-alcanzar-nivel-máster"/>
    <w:p>
      <w:pPr>
        <w:pStyle w:val="Heading3"/>
      </w:pPr>
      <w:r>
        <w:t xml:space="preserve">P1 — Para alcanzar nivel Máster</w:t>
      </w:r>
    </w:p>
    <w:p>
      <w:pPr>
        <w:pStyle w:val="Compact"/>
        <w:numPr>
          <w:ilvl w:val="0"/>
          <w:numId w:val="1027"/>
        </w:numPr>
      </w:pPr>
      <w:r>
        <w:t xml:space="preserve">Rediseñar al menos la mitad de los veinticuatro ejercicios.</w:t>
      </w:r>
    </w:p>
    <w:p>
      <w:pPr>
        <w:pStyle w:val="Compact"/>
        <w:numPr>
          <w:ilvl w:val="0"/>
          <w:numId w:val="1027"/>
        </w:numPr>
      </w:pPr>
      <w:r>
        <w:t xml:space="preserve">Añadir think-alouds de arquitectura al I Do.</w:t>
      </w:r>
    </w:p>
    <w:p>
      <w:pPr>
        <w:pStyle w:val="Compact"/>
        <w:numPr>
          <w:ilvl w:val="0"/>
          <w:numId w:val="1027"/>
        </w:numPr>
      </w:pPr>
      <w:r>
        <w:t xml:space="preserve">Implementar un value object real.</w:t>
      </w:r>
    </w:p>
    <w:p>
      <w:pPr>
        <w:pStyle w:val="Compact"/>
        <w:numPr>
          <w:ilvl w:val="0"/>
          <w:numId w:val="1027"/>
        </w:numPr>
      </w:pPr>
      <w:r>
        <w:t xml:space="preserve">Ejecutar contract tests reales para ports/adapters.</w:t>
      </w:r>
    </w:p>
    <w:p>
      <w:pPr>
        <w:pStyle w:val="Compact"/>
        <w:numPr>
          <w:ilvl w:val="0"/>
          <w:numId w:val="1027"/>
        </w:numPr>
      </w:pPr>
      <w:r>
        <w:t xml:space="preserve">Incorporar diagramas C4 con relaciones, responsabilidades y tecnologías.</w:t>
      </w:r>
    </w:p>
    <w:p>
      <w:pPr>
        <w:pStyle w:val="Compact"/>
        <w:numPr>
          <w:ilvl w:val="0"/>
          <w:numId w:val="1027"/>
        </w:numPr>
      </w:pPr>
      <w:r>
        <w:t xml:space="preserve">Evaluar ADRs por razonamiento y trazabilidad.</w:t>
      </w:r>
    </w:p>
    <w:bookmarkEnd w:id="64"/>
    <w:bookmarkStart w:id="65" w:name="p2-calidad-de-assessment"/>
    <w:p>
      <w:pPr>
        <w:pStyle w:val="Heading3"/>
      </w:pPr>
      <w:r>
        <w:t xml:space="preserve">P2 — Calidad de assessment</w:t>
      </w:r>
    </w:p>
    <w:p>
      <w:pPr>
        <w:pStyle w:val="Compact"/>
        <w:numPr>
          <w:ilvl w:val="0"/>
          <w:numId w:val="1028"/>
        </w:numPr>
      </w:pPr>
      <w:r>
        <w:t xml:space="preserve">Redistribuir índices correctos.</w:t>
      </w:r>
    </w:p>
    <w:p>
      <w:pPr>
        <w:pStyle w:val="Compact"/>
        <w:numPr>
          <w:ilvl w:val="0"/>
          <w:numId w:val="1028"/>
        </w:numPr>
      </w:pPr>
      <w:r>
        <w:t xml:space="preserve">Sustituir distractores absurdos por misconceptions plausibles.</w:t>
      </w:r>
    </w:p>
    <w:p>
      <w:pPr>
        <w:pStyle w:val="Compact"/>
        <w:numPr>
          <w:ilvl w:val="0"/>
          <w:numId w:val="1028"/>
        </w:numPr>
      </w:pPr>
      <w:r>
        <w:t xml:space="preserve">Añadir mini-casos y respuestas construidas.</w:t>
      </w:r>
    </w:p>
    <w:p>
      <w:pPr>
        <w:pStyle w:val="Compact"/>
        <w:numPr>
          <w:ilvl w:val="0"/>
          <w:numId w:val="1028"/>
        </w:numPr>
      </w:pPr>
      <w:r>
        <w:t xml:space="preserve">Verificar equivalencia cognitiva A/B/C.</w:t>
      </w:r>
    </w:p>
    <w:bookmarkEnd w:id="65"/>
    <w:bookmarkStart w:id="66" w:name="p3-edición-y-accesibilidad"/>
    <w:p>
      <w:pPr>
        <w:pStyle w:val="Heading3"/>
      </w:pPr>
      <w:r>
        <w:t xml:space="preserve">P3 — Edición y accesibilidad</w:t>
      </w:r>
    </w:p>
    <w:p>
      <w:pPr>
        <w:pStyle w:val="Compact"/>
        <w:numPr>
          <w:ilvl w:val="0"/>
          <w:numId w:val="1029"/>
        </w:numPr>
      </w:pPr>
      <w:r>
        <w:t xml:space="preserve">Reducir anglicismos innecesarios.</w:t>
      </w:r>
    </w:p>
    <w:p>
      <w:pPr>
        <w:pStyle w:val="Compact"/>
        <w:numPr>
          <w:ilvl w:val="0"/>
          <w:numId w:val="1029"/>
        </w:numPr>
      </w:pPr>
      <w:r>
        <w:t xml:space="preserve">Corregir gramática y terminología.</w:t>
      </w:r>
    </w:p>
    <w:p>
      <w:pPr>
        <w:pStyle w:val="Compact"/>
        <w:numPr>
          <w:ilvl w:val="0"/>
          <w:numId w:val="1029"/>
        </w:numPr>
      </w:pPr>
      <w:r>
        <w:t xml:space="preserve">Retirar metatexto de harness.</w:t>
      </w:r>
    </w:p>
    <w:p>
      <w:pPr>
        <w:pStyle w:val="Compact"/>
        <w:numPr>
          <w:ilvl w:val="0"/>
          <w:numId w:val="1029"/>
        </w:numPr>
      </w:pPr>
      <w:r>
        <w:t xml:space="preserve">Añadir representación textual accesible de diagramas.</w:t>
      </w:r>
    </w:p>
    <w:p>
      <w:pPr>
        <w:pStyle w:val="Compact"/>
        <w:numPr>
          <w:ilvl w:val="0"/>
          <w:numId w:val="1029"/>
        </w:numPr>
      </w:pPr>
      <w:r>
        <w:t xml:space="preserve">Alinear la rúbrica con lo enseñado en S40.</w:t>
      </w:r>
    </w:p>
    <w:bookmarkEnd w:id="66"/>
    <w:bookmarkEnd w:id="67"/>
    <w:bookmarkStart w:id="72" w:name="graph-memory-update-notes"/>
    <w:p>
      <w:pPr>
        <w:pStyle w:val="Heading2"/>
      </w:pPr>
      <w:r>
        <w:t xml:space="preserve">8. Graph Memory Update Notes</w:t>
      </w:r>
    </w:p>
    <w:bookmarkStart w:id="68" w:name="nodes"/>
    <w:p>
      <w:pPr>
        <w:pStyle w:val="Heading3"/>
      </w:pPr>
      <w:r>
        <w:t xml:space="preserve">Nodes</w:t>
      </w:r>
    </w:p>
    <w:p>
      <w:pPr>
        <w:pStyle w:val="SourceCode"/>
      </w:pPr>
      <w:r>
        <w:rPr>
          <w:rStyle w:val="VerbatimChar"/>
        </w:rPr>
        <w:t xml:space="preserve">S40</w:t>
      </w:r>
      <w:r>
        <w:br/>
      </w:r>
      <w:r>
        <w:rPr>
          <w:rStyle w:val="VerbatimChar"/>
        </w:rPr>
        <w:t xml:space="preserve">  title: Arquitectura, DDD y decisiones técnicas</w:t>
      </w:r>
      <w:r>
        <w:br/>
      </w:r>
      <w:r>
        <w:rPr>
          <w:rStyle w:val="VerbatimChar"/>
        </w:rPr>
        <w:t xml:space="preserve">  current_score: 5.4/10</w:t>
      </w:r>
      <w:r>
        <w:br/>
      </w:r>
      <w:r>
        <w:rPr>
          <w:rStyle w:val="VerbatimChar"/>
        </w:rPr>
        <w:t xml:space="preserve">  status: substantive_revision_required</w:t>
      </w:r>
      <w:r>
        <w:br/>
      </w:r>
      <w:r>
        <w:rPr>
          <w:rStyle w:val="VerbatimChar"/>
        </w:rPr>
        <w:t xml:space="preserve">  critical_issue: incorrect_bounded_context_disjointness_rule</w:t>
      </w:r>
    </w:p>
    <w:bookmarkEnd w:id="68"/>
    <w:bookmarkStart w:id="69" w:name="correct-concept-edges"/>
    <w:p>
      <w:pPr>
        <w:pStyle w:val="Heading3"/>
      </w:pPr>
      <w:r>
        <w:t xml:space="preserve">Correct concept edges</w:t>
      </w:r>
    </w:p>
    <w:p>
      <w:pPr>
        <w:pStyle w:val="SourceCode"/>
      </w:pPr>
      <w:r>
        <w:rPr>
          <w:rStyle w:val="VerbatimChar"/>
        </w:rPr>
        <w:t xml:space="preserve">business drivers</w:t>
      </w:r>
      <w:r>
        <w:br/>
      </w:r>
      <w:r>
        <w:rPr>
          <w:rStyle w:val="VerbatimChar"/>
        </w:rPr>
        <w:t xml:space="preserve">  → quality-attribute scenarios</w:t>
      </w:r>
      <w:r>
        <w:br/>
      </w:r>
      <w:r>
        <w:rPr>
          <w:rStyle w:val="VerbatimChar"/>
        </w:rPr>
        <w:t xml:space="preserve">  → measurable trade-offs</w:t>
      </w:r>
      <w:r>
        <w:br/>
      </w:r>
      <w:r>
        <w:rPr>
          <w:rStyle w:val="VerbatimChar"/>
        </w:rPr>
        <w:t xml:space="preserve">  → architectural decision</w:t>
      </w:r>
      <w:r>
        <w:br/>
      </w:r>
      <w:r>
        <w:br/>
      </w:r>
      <w:r>
        <w:rPr>
          <w:rStyle w:val="VerbatimChar"/>
        </w:rPr>
        <w:t xml:space="preserve">bounded context</w:t>
      </w:r>
      <w:r>
        <w:br/>
      </w:r>
      <w:r>
        <w:rPr>
          <w:rStyle w:val="VerbatimChar"/>
        </w:rPr>
        <w:t xml:space="preserve">  → locally consistent model</w:t>
      </w:r>
      <w:r>
        <w:br/>
      </w:r>
      <w:r>
        <w:rPr>
          <w:rStyle w:val="VerbatimChar"/>
        </w:rPr>
        <w:t xml:space="preserve">  → ubiquitous language</w:t>
      </w:r>
      <w:r>
        <w:br/>
      </w:r>
      <w:r>
        <w:rPr>
          <w:rStyle w:val="VerbatimChar"/>
        </w:rPr>
        <w:t xml:space="preserve">  → context-map relationship</w:t>
      </w:r>
      <w:r>
        <w:br/>
      </w:r>
      <w:r>
        <w:rPr>
          <w:rStyle w:val="VerbatimChar"/>
        </w:rPr>
        <w:t xml:space="preserve">  → translation/ACL when needed</w:t>
      </w:r>
      <w:r>
        <w:br/>
      </w:r>
      <w:r>
        <w:br/>
      </w:r>
      <w:r>
        <w:rPr>
          <w:rStyle w:val="VerbatimChar"/>
        </w:rPr>
        <w:t xml:space="preserve">shared term across contexts</w:t>
      </w:r>
      <w:r>
        <w:br/>
      </w:r>
      <w:r>
        <w:rPr>
          <w:rStyle w:val="VerbatimChar"/>
        </w:rPr>
        <w:t xml:space="preserve">  ↛ automatic boundary failure</w:t>
      </w:r>
      <w:r>
        <w:br/>
      </w:r>
      <w:r>
        <w:br/>
      </w:r>
      <w:r>
        <w:rPr>
          <w:rStyle w:val="VerbatimChar"/>
        </w:rPr>
        <w:t xml:space="preserve">shared term + ambiguous semantics + no mapping</w:t>
      </w:r>
      <w:r>
        <w:br/>
      </w:r>
      <w:r>
        <w:rPr>
          <w:rStyle w:val="VerbatimChar"/>
        </w:rPr>
        <w:t xml:space="preserve">  → clarification/workshop required</w:t>
      </w:r>
      <w:r>
        <w:br/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  → purposeful application conversation</w:t>
      </w:r>
      <w:r>
        <w:br/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→ technology-specific translation</w:t>
      </w:r>
      <w:r>
        <w:br/>
      </w:r>
      <w:r>
        <w:br/>
      </w:r>
      <w:r>
        <w:rPr>
          <w:rStyle w:val="VerbatimChar"/>
        </w:rPr>
        <w:t xml:space="preserve">contract tests</w:t>
      </w:r>
      <w:r>
        <w:br/>
      </w:r>
      <w:r>
        <w:rPr>
          <w:rStyle w:val="VerbatimChar"/>
        </w:rPr>
        <w:t xml:space="preserve">  → evidence of substitutability</w:t>
      </w:r>
      <w:r>
        <w:br/>
      </w:r>
      <w:r>
        <w:br/>
      </w:r>
      <w:r>
        <w:rPr>
          <w:rStyle w:val="VerbatimChar"/>
        </w:rPr>
        <w:t xml:space="preserve">value object</w:t>
      </w:r>
      <w:r>
        <w:br/>
      </w:r>
      <w:r>
        <w:rPr>
          <w:rStyle w:val="VerbatimChar"/>
        </w:rPr>
        <w:t xml:space="preserve">  → equality by value</w:t>
      </w:r>
      <w:r>
        <w:br/>
      </w:r>
      <w:r>
        <w:rPr>
          <w:rStyle w:val="VerbatimChar"/>
        </w:rPr>
        <w:t xml:space="preserve">  → construction invariants</w:t>
      </w:r>
      <w:r>
        <w:br/>
      </w:r>
      <w:r>
        <w:rPr>
          <w:rStyle w:val="VerbatimChar"/>
        </w:rPr>
        <w:t xml:space="preserve">  → enforced immutability</w:t>
      </w:r>
      <w:r>
        <w:br/>
      </w:r>
      <w:r>
        <w:br/>
      </w:r>
      <w:r>
        <w:rPr>
          <w:rStyle w:val="VerbatimChar"/>
        </w:rPr>
        <w:t xml:space="preserve">C4 context</w:t>
      </w:r>
      <w:r>
        <w:br/>
      </w:r>
      <w:r>
        <w:rPr>
          <w:rStyle w:val="VerbatimChar"/>
        </w:rPr>
        <w:t xml:space="preserve">  → people + external systems + labelled relationships</w:t>
      </w:r>
      <w:r>
        <w:br/>
      </w:r>
      <w:r>
        <w:br/>
      </w:r>
      <w:r>
        <w:rPr>
          <w:rStyle w:val="VerbatimChar"/>
        </w:rPr>
        <w:t xml:space="preserve">C4 container</w:t>
      </w:r>
      <w:r>
        <w:br/>
      </w:r>
      <w:r>
        <w:rPr>
          <w:rStyle w:val="VerbatimChar"/>
        </w:rPr>
        <w:t xml:space="preserve">  → deployable units + responsibilities + technologies + communications</w:t>
      </w:r>
      <w:r>
        <w:br/>
      </w:r>
      <w:r>
        <w:br/>
      </w: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  → context + decision + consequences + lifecycle</w:t>
      </w:r>
      <w:r>
        <w:br/>
      </w:r>
      <w:r>
        <w:rPr>
          <w:rStyle w:val="VerbatimChar"/>
        </w:rPr>
        <w:t xml:space="preserve">  → owner + alternatives + rollback</w:t>
      </w:r>
      <w:r>
        <w:br/>
      </w:r>
      <w:r>
        <w:br/>
      </w:r>
      <w:r>
        <w:rPr>
          <w:rStyle w:val="VerbatimChar"/>
        </w:rPr>
        <w:t xml:space="preserve">API compatibility</w:t>
      </w:r>
      <w:r>
        <w:br/>
      </w:r>
      <w:r>
        <w:rPr>
          <w:rStyle w:val="VerbatimChar"/>
        </w:rPr>
        <w:t xml:space="preserve">  → field preservation</w:t>
      </w:r>
      <w:r>
        <w:br/>
      </w:r>
      <w:r>
        <w:rPr>
          <w:rStyle w:val="VerbatimChar"/>
        </w:rPr>
        <w:t xml:space="preserve">  + type compatibility</w:t>
      </w:r>
      <w:r>
        <w:br/>
      </w:r>
      <w:r>
        <w:rPr>
          <w:rStyle w:val="VerbatimChar"/>
        </w:rPr>
        <w:t xml:space="preserve">  + semantic compatibility</w:t>
      </w:r>
      <w:r>
        <w:br/>
      </w:r>
      <w:r>
        <w:rPr>
          <w:rStyle w:val="VerbatimChar"/>
        </w:rPr>
        <w:t xml:space="preserve">  + consumer tests</w:t>
      </w:r>
    </w:p>
    <w:bookmarkEnd w:id="69"/>
    <w:bookmarkStart w:id="70" w:name="roadmap-edge"/>
    <w:p>
      <w:pPr>
        <w:pStyle w:val="Heading3"/>
      </w:pPr>
      <w:r>
        <w:t xml:space="preserve">Roadmap edge</w:t>
      </w:r>
    </w:p>
    <w:p>
      <w:pPr>
        <w:pStyle w:val="SourceCode"/>
      </w:pPr>
      <w:r>
        <w:rPr>
          <w:rStyle w:val="VerbatimChar"/>
        </w:rPr>
        <w:t xml:space="preserve">S39 Responsible ML Case Triage</w:t>
      </w:r>
      <w:r>
        <w:br/>
      </w:r>
      <w:r>
        <w:rPr>
          <w:rStyle w:val="VerbatimChar"/>
        </w:rPr>
        <w:t xml:space="preserve">  → S40 architecture boundaries and decisions</w:t>
      </w:r>
      <w:r>
        <w:br/>
      </w:r>
      <w:r>
        <w:rPr>
          <w:rStyle w:val="VerbatimChar"/>
        </w:rPr>
        <w:t xml:space="preserve">  → S41 versioned FastAPI services</w:t>
      </w:r>
    </w:p>
    <w:bookmarkEnd w:id="70"/>
    <w:bookmarkStart w:id="71" w:name="harness-memory"/>
    <w:p>
      <w:pPr>
        <w:pStyle w:val="Heading3"/>
      </w:pPr>
      <w:r>
        <w:t xml:space="preserve">Harness memory</w:t>
      </w:r>
    </w:p>
    <w:p>
      <w:pPr>
        <w:pStyle w:val="Compact"/>
        <w:numPr>
          <w:ilvl w:val="0"/>
          <w:numId w:val="1030"/>
        </w:numPr>
      </w:pPr>
      <w:r>
        <w:t xml:space="preserve">Cumplir conteos no garantiza diversidad cognitiva.</w:t>
      </w:r>
    </w:p>
    <w:p>
      <w:pPr>
        <w:pStyle w:val="Compact"/>
        <w:numPr>
          <w:ilvl w:val="0"/>
          <w:numId w:val="1030"/>
        </w:numPr>
      </w:pPr>
      <w:r>
        <w:t xml:space="preserve">Veinticuatro ejercicios deben auditarse por variedad, no solo presencia.</w:t>
      </w:r>
    </w:p>
    <w:p>
      <w:pPr>
        <w:pStyle w:val="Compact"/>
        <w:numPr>
          <w:ilvl w:val="0"/>
          <w:numId w:val="1030"/>
        </w:numPr>
      </w:pPr>
      <w:r>
        <w:t xml:space="preserve">Los flags autodeclarados no constituyen evidencia.</w:t>
      </w:r>
    </w:p>
    <w:p>
      <w:pPr>
        <w:pStyle w:val="Compact"/>
        <w:numPr>
          <w:ilvl w:val="0"/>
          <w:numId w:val="1030"/>
        </w:numPr>
      </w:pPr>
      <w:r>
        <w:t xml:space="preserve">Una sección no puede estar cerrada y pendiente al mismo tiempo.</w:t>
      </w:r>
    </w:p>
    <w:p>
      <w:pPr>
        <w:pStyle w:val="Compact"/>
        <w:numPr>
          <w:ilvl w:val="0"/>
          <w:numId w:val="1030"/>
        </w:numPr>
      </w:pPr>
      <w:r>
        <w:t xml:space="preserve">Teoría, ejercicios, examen y proyecto deben compartir invariantes semánticos.</w:t>
      </w:r>
    </w:p>
    <w:p>
      <w:pPr>
        <w:pStyle w:val="Compact"/>
        <w:numPr>
          <w:ilvl w:val="0"/>
          <w:numId w:val="1030"/>
        </w:numPr>
      </w:pPr>
      <w:r>
        <w:t xml:space="preserve">Los slugs heredados no deben redefinir el significado curricular.</w:t>
      </w:r>
    </w:p>
    <w:p>
      <w:pPr>
        <w:pStyle w:val="FirstParagraph"/>
      </w:pPr>
      <w:r>
        <w:rPr>
          <w:b/>
          <w:bCs/>
        </w:rPr>
        <w:t xml:space="preserve">This is the complete Explorer report for Section 40. Ready for the Fixer prompt.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2026-07-25T16:26:47Z</dcterms:created>
  <dcterms:modified xsi:type="dcterms:W3CDTF">2026-07-25T16:26:47Z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