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80"/>
      </w:pPr>
      <w:r>
        <w:rPr>
          <w:rFonts w:ascii="Calibri" w:hAnsi="Calibri"/>
          <w:b/>
          <w:color w:val="2E6E9E"/>
          <w:sz w:val="22"/>
        </w:rPr>
        <w:t>IMPLEMENTATION PLAN</w:t>
      </w:r>
    </w:p>
    <w:p>
      <w:pPr>
        <w:pStyle w:val="PlanTitle"/>
      </w:pPr>
      <w:r>
        <w:rPr>
          <w:rFonts w:ascii="Calibri" w:hAnsi="Calibri"/>
          <w:b/>
          <w:color w:val="173A5E"/>
          <w:sz w:val="56"/>
        </w:rPr>
        <w:t>Enterprise Data Compiler</w:t>
      </w:r>
    </w:p>
    <w:p>
      <w:pPr>
        <w:spacing w:after="440"/>
      </w:pPr>
      <w:r>
        <w:rPr>
          <w:rFonts w:ascii="Calibri" w:hAnsi="Calibri"/>
          <w:color w:val="66717C"/>
          <w:sz w:val="32"/>
        </w:rPr>
        <w:t>MVP Implementation Plan</w:t>
      </w:r>
    </w:p>
    <w:p>
      <w:pPr>
        <w:tabs>
          <w:tab w:pos="1944" w:val="left"/>
        </w:tabs>
        <w:spacing w:after="80"/>
      </w:pPr>
      <w:r>
        <w:rPr>
          <w:rFonts w:ascii="Calibri" w:hAnsi="Calibri"/>
          <w:b/>
          <w:color w:val="173A5E"/>
          <w:sz w:val="21"/>
        </w:rPr>
        <w:t>Scope</w:t>
      </w:r>
      <w:r>
        <w:tab/>
      </w:r>
      <w:r>
        <w:rPr>
          <w:rFonts w:ascii="Calibri" w:hAnsi="Calibri"/>
          <w:color w:val="17212B"/>
          <w:sz w:val="21"/>
        </w:rPr>
        <w:t>Revenue-to-Cash Evidence Loop; first production cohort</w:t>
      </w:r>
    </w:p>
    <w:p>
      <w:pPr>
        <w:tabs>
          <w:tab w:pos="1944" w:val="left"/>
        </w:tabs>
        <w:spacing w:after="80"/>
      </w:pPr>
      <w:r>
        <w:rPr>
          <w:rFonts w:ascii="Calibri" w:hAnsi="Calibri"/>
          <w:b/>
          <w:color w:val="173A5E"/>
          <w:sz w:val="21"/>
        </w:rPr>
        <w:t>Authoring</w:t>
      </w:r>
      <w:r>
        <w:tab/>
      </w:r>
      <w:r>
        <w:rPr>
          <w:rFonts w:ascii="Calibri" w:hAnsi="Calibri"/>
          <w:color w:val="17212B"/>
          <w:sz w:val="21"/>
        </w:rPr>
        <w:t>Codex and Claude desktop clients over MCP</w:t>
      </w:r>
    </w:p>
    <w:p>
      <w:pPr>
        <w:tabs>
          <w:tab w:pos="1944" w:val="left"/>
        </w:tabs>
        <w:spacing w:after="80"/>
      </w:pPr>
      <w:r>
        <w:rPr>
          <w:rFonts w:ascii="Calibri" w:hAnsi="Calibri"/>
          <w:b/>
          <w:color w:val="173A5E"/>
          <w:sz w:val="21"/>
        </w:rPr>
        <w:t>Reference flow</w:t>
      </w:r>
      <w:r>
        <w:tab/>
      </w:r>
      <w:r>
        <w:rPr>
          <w:rFonts w:ascii="Calibri" w:hAnsi="Calibri"/>
          <w:color w:val="17212B"/>
          <w:sz w:val="21"/>
        </w:rPr>
        <w:t>Salesforce + PostgreSQL → Snowflake → dbt → governed context</w:t>
      </w:r>
    </w:p>
    <w:p>
      <w:pPr>
        <w:tabs>
          <w:tab w:pos="1944" w:val="left"/>
        </w:tabs>
        <w:spacing w:after="80"/>
      </w:pPr>
      <w:r>
        <w:rPr>
          <w:rFonts w:ascii="Calibri" w:hAnsi="Calibri"/>
          <w:b/>
          <w:color w:val="173A5E"/>
          <w:sz w:val="21"/>
        </w:rPr>
        <w:t>Status</w:t>
      </w:r>
      <w:r>
        <w:tab/>
      </w:r>
      <w:r>
        <w:rPr>
          <w:rFonts w:ascii="Calibri" w:hAnsi="Calibri"/>
          <w:color w:val="17212B"/>
          <w:sz w:val="21"/>
        </w:rPr>
        <w:t>Pre-implementation funding and execution baseline</w:t>
      </w:r>
    </w:p>
    <w:p>
      <w:pPr>
        <w:tabs>
          <w:tab w:pos="1944" w:val="left"/>
        </w:tabs>
        <w:spacing w:after="80"/>
      </w:pPr>
      <w:r>
        <w:rPr>
          <w:rFonts w:ascii="Calibri" w:hAnsi="Calibri"/>
          <w:b/>
          <w:color w:val="173A5E"/>
          <w:sz w:val="21"/>
        </w:rPr>
        <w:t>Version</w:t>
      </w:r>
      <w:r>
        <w:tab/>
      </w:r>
      <w:r>
        <w:rPr>
          <w:rFonts w:ascii="Calibri" w:hAnsi="Calibri"/>
          <w:color w:val="17212B"/>
          <w:sz w:val="21"/>
        </w:rPr>
        <w:t>1.4</w:t>
      </w:r>
    </w:p>
    <w:p>
      <w:pPr>
        <w:tabs>
          <w:tab w:pos="1944" w:val="left"/>
        </w:tabs>
        <w:spacing w:after="80"/>
      </w:pPr>
      <w:r>
        <w:rPr>
          <w:rFonts w:ascii="Calibri" w:hAnsi="Calibri"/>
          <w:b/>
          <w:color w:val="173A5E"/>
          <w:sz w:val="21"/>
        </w:rPr>
        <w:t>Date</w:t>
      </w:r>
      <w:r>
        <w:tab/>
      </w:r>
      <w:r>
        <w:rPr>
          <w:rFonts w:ascii="Calibri" w:hAnsi="Calibri"/>
          <w:color w:val="17212B"/>
          <w:sz w:val="21"/>
        </w:rPr>
        <w:t>August 2026</w:t>
      </w:r>
    </w:p>
    <w:p>
      <w:pPr>
        <w:spacing w:before="680" w:after="240"/>
      </w:pPr>
      <w:r>
        <w:rPr>
          <w:rFonts w:ascii="Calibri" w:hAnsi="Calibri"/>
          <w:b/>
          <w:color w:val="2E6E9E"/>
          <w:sz w:val="26"/>
        </w:rPr>
        <w:t>Goal</w:t>
      </w:r>
    </w:p>
    <w:p>
      <w:r>
        <w:rPr>
          <w:rFonts w:ascii="Calibri" w:hAnsi="Calibri"/>
          <w:color w:val="17212B"/>
          <w:sz w:val="24"/>
        </w:rPr>
        <w:t>Prove one managed, deterministic Revenue-to-Cash outcome: authoritative commercial and operational data, a version-bound finance product, reproducible lifecycle exceptions, and governed agent context—without customer-operated clusters, brokers, or pipeline runtimes.</w:t>
      </w:r>
    </w:p>
    <w:p>
      <w:pPr>
        <w:spacing w:before="960"/>
      </w:pPr>
      <w:r>
        <w:rPr>
          <w:rFonts w:ascii="Calibri" w:hAnsi="Calibri"/>
          <w:i/>
          <w:color w:val="66717C"/>
          <w:sz w:val="19"/>
        </w:rPr>
        <w:t>This plan defines architecture, workstreams, gates, and evidence. It intentionally omits implementation APIs, wire formats, and deployment manifests.</w:t>
      </w:r>
    </w:p>
    <w:p>
      <w:r>
        <w:br w:type="page"/>
      </w:r>
    </w:p>
    <w:p>
      <w:pPr>
        <w:pStyle w:val="PlanTitle"/>
      </w:pPr>
      <w:r>
        <w:t>Contents</w:t>
      </w:r>
    </w:p>
    <w:p>
      <w:pPr>
        <w:tabs>
          <w:tab w:pos="9072" w:val="right" w:leader="dot"/>
        </w:tabs>
        <w:spacing w:after="60"/>
      </w:pPr>
      <w:r>
        <w:rPr>
          <w:rFonts w:ascii="Calibri" w:hAnsi="Calibri"/>
          <w:color w:val="17212B"/>
          <w:sz w:val="19"/>
        </w:rPr>
        <w:t>1 Executive Decision</w:t>
      </w:r>
      <w:r>
        <w:tab/>
      </w:r>
      <w:r>
        <w:rPr>
          <w:rFonts w:ascii="Calibri" w:hAnsi="Calibri"/>
          <w:color w:val="66717C"/>
          <w:sz w:val="19"/>
        </w:rPr>
        <w:t>3</w:t>
      </w:r>
    </w:p>
    <w:p>
      <w:pPr>
        <w:tabs>
          <w:tab w:pos="9072" w:val="right" w:leader="dot"/>
        </w:tabs>
        <w:spacing w:after="60"/>
      </w:pPr>
      <w:r>
        <w:rPr>
          <w:rFonts w:ascii="Calibri" w:hAnsi="Calibri"/>
          <w:color w:val="17212B"/>
          <w:sz w:val="19"/>
        </w:rPr>
        <w:t>2 Scope and Non-goals</w:t>
      </w:r>
      <w:r>
        <w:tab/>
      </w:r>
      <w:r>
        <w:rPr>
          <w:rFonts w:ascii="Calibri" w:hAnsi="Calibri"/>
          <w:color w:val="66717C"/>
          <w:sz w:val="19"/>
        </w:rPr>
        <w:t>4</w:t>
      </w:r>
    </w:p>
    <w:p>
      <w:pPr>
        <w:tabs>
          <w:tab w:pos="9072" w:val="right" w:leader="dot"/>
        </w:tabs>
        <w:spacing w:after="60"/>
      </w:pPr>
      <w:r>
        <w:rPr>
          <w:rFonts w:ascii="Calibri" w:hAnsi="Calibri"/>
          <w:color w:val="17212B"/>
          <w:sz w:val="19"/>
        </w:rPr>
        <w:t>3 System Architecture</w:t>
      </w:r>
      <w:r>
        <w:tab/>
      </w:r>
      <w:r>
        <w:rPr>
          <w:rFonts w:ascii="Calibri" w:hAnsi="Calibri"/>
          <w:color w:val="66717C"/>
          <w:sz w:val="19"/>
        </w:rPr>
        <w:t>7</w:t>
      </w:r>
    </w:p>
    <w:p>
      <w:pPr>
        <w:tabs>
          <w:tab w:pos="9072" w:val="right" w:leader="dot"/>
        </w:tabs>
        <w:spacing w:after="60"/>
      </w:pPr>
      <w:r>
        <w:rPr>
          <w:rFonts w:ascii="Calibri" w:hAnsi="Calibri"/>
          <w:color w:val="17212B"/>
          <w:sz w:val="19"/>
        </w:rPr>
        <w:t>4 Desktop Authoring over MCP</w:t>
      </w:r>
      <w:r>
        <w:tab/>
      </w:r>
      <w:r>
        <w:rPr>
          <w:rFonts w:ascii="Calibri" w:hAnsi="Calibri"/>
          <w:color w:val="66717C"/>
          <w:sz w:val="19"/>
        </w:rPr>
        <w:t>8</w:t>
      </w:r>
    </w:p>
    <w:p>
      <w:pPr>
        <w:tabs>
          <w:tab w:pos="9072" w:val="right" w:leader="dot"/>
        </w:tabs>
        <w:spacing w:after="60"/>
      </w:pPr>
      <w:r>
        <w:rPr>
          <w:rFonts w:ascii="Calibri" w:hAnsi="Calibri"/>
          <w:color w:val="17212B"/>
          <w:sz w:val="19"/>
        </w:rPr>
        <w:t>5 Elastic Execution Model</w:t>
      </w:r>
      <w:r>
        <w:tab/>
      </w:r>
      <w:r>
        <w:rPr>
          <w:rFonts w:ascii="Calibri" w:hAnsi="Calibri"/>
          <w:color w:val="66717C"/>
          <w:sz w:val="19"/>
        </w:rPr>
        <w:t>10</w:t>
      </w:r>
    </w:p>
    <w:p>
      <w:pPr>
        <w:tabs>
          <w:tab w:pos="9072" w:val="right" w:leader="dot"/>
        </w:tabs>
        <w:spacing w:after="60"/>
      </w:pPr>
      <w:r>
        <w:rPr>
          <w:rFonts w:ascii="Calibri" w:hAnsi="Calibri"/>
          <w:color w:val="17212B"/>
          <w:sz w:val="19"/>
        </w:rPr>
        <w:t>6 End-to-End Data Reliability</w:t>
      </w:r>
      <w:r>
        <w:tab/>
      </w:r>
      <w:r>
        <w:rPr>
          <w:rFonts w:ascii="Calibri" w:hAnsi="Calibri"/>
          <w:color w:val="66717C"/>
          <w:sz w:val="19"/>
        </w:rPr>
        <w:t>11</w:t>
      </w:r>
    </w:p>
    <w:p>
      <w:pPr>
        <w:tabs>
          <w:tab w:pos="9072" w:val="right" w:leader="dot"/>
        </w:tabs>
        <w:spacing w:after="60"/>
      </w:pPr>
      <w:r>
        <w:rPr>
          <w:rFonts w:ascii="Calibri" w:hAnsi="Calibri"/>
          <w:color w:val="17212B"/>
          <w:sz w:val="19"/>
        </w:rPr>
        <w:t>7 Capability Provider Kit</w:t>
      </w:r>
      <w:r>
        <w:tab/>
      </w:r>
      <w:r>
        <w:rPr>
          <w:rFonts w:ascii="Calibri" w:hAnsi="Calibri"/>
          <w:color w:val="66717C"/>
          <w:sz w:val="19"/>
        </w:rPr>
        <w:t>14</w:t>
      </w:r>
    </w:p>
    <w:p>
      <w:pPr>
        <w:tabs>
          <w:tab w:pos="9072" w:val="right" w:leader="dot"/>
        </w:tabs>
        <w:spacing w:after="60"/>
      </w:pPr>
      <w:r>
        <w:rPr>
          <w:rFonts w:ascii="Calibri" w:hAnsi="Calibri"/>
          <w:color w:val="17212B"/>
          <w:sz w:val="19"/>
        </w:rPr>
        <w:t>8 API and OAuth Connectivity</w:t>
      </w:r>
      <w:r>
        <w:tab/>
      </w:r>
      <w:r>
        <w:rPr>
          <w:rFonts w:ascii="Calibri" w:hAnsi="Calibri"/>
          <w:color w:val="66717C"/>
          <w:sz w:val="19"/>
        </w:rPr>
        <w:t>15</w:t>
      </w:r>
    </w:p>
    <w:p>
      <w:pPr>
        <w:tabs>
          <w:tab w:pos="9072" w:val="right" w:leader="dot"/>
        </w:tabs>
        <w:spacing w:after="60"/>
      </w:pPr>
      <w:r>
        <w:rPr>
          <w:rFonts w:ascii="Calibri" w:hAnsi="Calibri"/>
          <w:color w:val="17212B"/>
          <w:sz w:val="19"/>
        </w:rPr>
        <w:t>9 Kafka Decision</w:t>
      </w:r>
      <w:r>
        <w:tab/>
      </w:r>
      <w:r>
        <w:rPr>
          <w:rFonts w:ascii="Calibri" w:hAnsi="Calibri"/>
          <w:color w:val="66717C"/>
          <w:sz w:val="19"/>
        </w:rPr>
        <w:t>17</w:t>
      </w:r>
    </w:p>
    <w:p>
      <w:pPr>
        <w:tabs>
          <w:tab w:pos="9072" w:val="right" w:leader="dot"/>
        </w:tabs>
        <w:spacing w:after="60"/>
      </w:pPr>
      <w:r>
        <w:rPr>
          <w:rFonts w:ascii="Calibri" w:hAnsi="Calibri"/>
          <w:color w:val="17212B"/>
          <w:sz w:val="19"/>
        </w:rPr>
        <w:t>10 Managed Operations</w:t>
      </w:r>
      <w:r>
        <w:tab/>
      </w:r>
      <w:r>
        <w:rPr>
          <w:rFonts w:ascii="Calibri" w:hAnsi="Calibri"/>
          <w:color w:val="66717C"/>
          <w:sz w:val="19"/>
        </w:rPr>
        <w:t>17</w:t>
      </w:r>
    </w:p>
    <w:p>
      <w:pPr>
        <w:tabs>
          <w:tab w:pos="9072" w:val="right" w:leader="dot"/>
        </w:tabs>
        <w:spacing w:after="60"/>
      </w:pPr>
      <w:r>
        <w:rPr>
          <w:rFonts w:ascii="Calibri" w:hAnsi="Calibri"/>
          <w:color w:val="17212B"/>
          <w:sz w:val="19"/>
        </w:rPr>
        <w:t>11 Security and Tenant Isolation</w:t>
      </w:r>
      <w:r>
        <w:tab/>
      </w:r>
      <w:r>
        <w:rPr>
          <w:rFonts w:ascii="Calibri" w:hAnsi="Calibri"/>
          <w:color w:val="66717C"/>
          <w:sz w:val="19"/>
        </w:rPr>
        <w:t>19</w:t>
      </w:r>
    </w:p>
    <w:p>
      <w:pPr>
        <w:tabs>
          <w:tab w:pos="9072" w:val="right" w:leader="dot"/>
        </w:tabs>
        <w:spacing w:after="60"/>
      </w:pPr>
      <w:r>
        <w:rPr>
          <w:rFonts w:ascii="Calibri" w:hAnsi="Calibri"/>
          <w:color w:val="17212B"/>
          <w:sz w:val="19"/>
        </w:rPr>
        <w:t>12 Implementation Workstreams</w:t>
      </w:r>
      <w:r>
        <w:tab/>
      </w:r>
      <w:r>
        <w:rPr>
          <w:rFonts w:ascii="Calibri" w:hAnsi="Calibri"/>
          <w:color w:val="66717C"/>
          <w:sz w:val="19"/>
        </w:rPr>
        <w:t>20</w:t>
      </w:r>
    </w:p>
    <w:p>
      <w:pPr>
        <w:tabs>
          <w:tab w:pos="9072" w:val="right" w:leader="dot"/>
        </w:tabs>
        <w:spacing w:after="60"/>
      </w:pPr>
      <w:r>
        <w:rPr>
          <w:rFonts w:ascii="Calibri" w:hAnsi="Calibri"/>
          <w:color w:val="17212B"/>
          <w:sz w:val="19"/>
        </w:rPr>
        <w:t>13 Phased Delivery Plan</w:t>
      </w:r>
      <w:r>
        <w:tab/>
      </w:r>
      <w:r>
        <w:rPr>
          <w:rFonts w:ascii="Calibri" w:hAnsi="Calibri"/>
          <w:color w:val="66717C"/>
          <w:sz w:val="19"/>
        </w:rPr>
        <w:t>21</w:t>
      </w:r>
    </w:p>
    <w:p>
      <w:pPr>
        <w:tabs>
          <w:tab w:pos="9072" w:val="right" w:leader="dot"/>
        </w:tabs>
        <w:spacing w:after="60"/>
      </w:pPr>
      <w:r>
        <w:rPr>
          <w:rFonts w:ascii="Calibri" w:hAnsi="Calibri"/>
          <w:color w:val="17212B"/>
          <w:sz w:val="19"/>
        </w:rPr>
        <w:t>14 Verification Strategy</w:t>
      </w:r>
      <w:r>
        <w:tab/>
      </w:r>
      <w:r>
        <w:rPr>
          <w:rFonts w:ascii="Calibri" w:hAnsi="Calibri"/>
          <w:color w:val="66717C"/>
          <w:sz w:val="19"/>
        </w:rPr>
        <w:t>23</w:t>
      </w:r>
    </w:p>
    <w:p>
      <w:pPr>
        <w:tabs>
          <w:tab w:pos="9072" w:val="right" w:leader="dot"/>
        </w:tabs>
        <w:spacing w:after="60"/>
      </w:pPr>
      <w:r>
        <w:rPr>
          <w:rFonts w:ascii="Calibri" w:hAnsi="Calibri"/>
          <w:color w:val="17212B"/>
          <w:sz w:val="19"/>
        </w:rPr>
        <w:t>15 Production Cohort and Exit Gates</w:t>
      </w:r>
      <w:r>
        <w:tab/>
      </w:r>
      <w:r>
        <w:rPr>
          <w:rFonts w:ascii="Calibri" w:hAnsi="Calibri"/>
          <w:color w:val="66717C"/>
          <w:sz w:val="19"/>
        </w:rPr>
        <w:t>24</w:t>
      </w:r>
    </w:p>
    <w:p>
      <w:pPr>
        <w:tabs>
          <w:tab w:pos="9072" w:val="right" w:leader="dot"/>
        </w:tabs>
        <w:spacing w:after="60"/>
      </w:pPr>
      <w:r>
        <w:rPr>
          <w:rFonts w:ascii="Calibri" w:hAnsi="Calibri"/>
          <w:color w:val="17212B"/>
          <w:sz w:val="19"/>
        </w:rPr>
        <w:t>16 Risks and Containment</w:t>
      </w:r>
      <w:r>
        <w:tab/>
      </w:r>
      <w:r>
        <w:rPr>
          <w:rFonts w:ascii="Calibri" w:hAnsi="Calibri"/>
          <w:color w:val="66717C"/>
          <w:sz w:val="19"/>
        </w:rPr>
        <w:t>26</w:t>
      </w:r>
    </w:p>
    <w:p>
      <w:pPr>
        <w:tabs>
          <w:tab w:pos="9072" w:val="right" w:leader="dot"/>
        </w:tabs>
        <w:spacing w:after="60"/>
      </w:pPr>
      <w:r>
        <w:rPr>
          <w:rFonts w:ascii="Calibri" w:hAnsi="Calibri"/>
          <w:color w:val="17212B"/>
          <w:sz w:val="19"/>
        </w:rPr>
        <w:t>17 Immediate Next Actions</w:t>
      </w:r>
      <w:r>
        <w:tab/>
      </w:r>
      <w:r>
        <w:rPr>
          <w:rFonts w:ascii="Calibri" w:hAnsi="Calibri"/>
          <w:color w:val="66717C"/>
          <w:sz w:val="19"/>
        </w:rPr>
        <w:t>27</w:t>
      </w:r>
    </w:p>
    <w:p>
      <w:pPr>
        <w:tabs>
          <w:tab w:pos="9072" w:val="right" w:leader="dot"/>
        </w:tabs>
        <w:spacing w:before="80"/>
      </w:pPr>
      <w:r>
        <w:rPr>
          <w:rFonts w:ascii="Calibri" w:hAnsi="Calibri"/>
          <w:color w:val="17212B"/>
          <w:sz w:val="19"/>
        </w:rPr>
        <w:t>References</w:t>
      </w:r>
      <w:r>
        <w:tab/>
      </w:r>
      <w:r>
        <w:rPr>
          <w:rFonts w:ascii="Calibri" w:hAnsi="Calibri"/>
          <w:color w:val="66717C"/>
          <w:sz w:val="19"/>
        </w:rPr>
        <w:t>29</w:t>
      </w:r>
    </w:p>
    <w:p>
      <w:r>
        <w:br w:type="page"/>
      </w:r>
    </w:p>
    <w:p>
      <w:pPr>
        <w:pStyle w:val="Heading1"/>
      </w:pPr>
      <w:r>
        <w:t>1 Executive Decision</w:t>
      </w:r>
    </w:p>
    <w:p>
      <w:pPr>
        <w:spacing w:before="80" w:after="160" w:line="259" w:lineRule="auto"/>
        <w:ind w:left="173" w:right="115"/>
        <w:shd w:fill="EAF1F6"/>
        <w:pBdr>
          <w:left w:val="single" w:sz="18" w:space="8" w:color="2E6E9E"/>
        </w:pBdr>
      </w:pPr>
      <w:r>
        <w:rPr>
          <w:rFonts w:ascii="Calibri" w:hAnsi="Calibri"/>
          <w:b/>
          <w:color w:val="173A5E"/>
          <w:sz w:val="21"/>
        </w:rPr>
        <w:t xml:space="preserve">Recommendation: </w:t>
      </w:r>
      <w:r>
        <w:rPr>
          <w:rFonts w:ascii="Calibri" w:hAnsi="Calibri"/>
          <w:color w:val="17212B"/>
          <w:sz w:val="21"/>
        </w:rPr>
        <w:t>Fund a Revenue-to-Cash Evidence Loop for one production cohort. In one conversationally authored contract bundle, Salesforce commercial records and PostgreSQL order, subscription, invoice, and payment records are delivered to Snowflake; existing dbt models produce the finance data product; deterministic reconciliation detects lifecycle gaps; and governed MCP resources expose results to finance and sales agents. The platform does not implement a pipeline editor, another transformation framework, a general Spark service, or mandatory Kafka.</w:t>
      </w:r>
    </w:p>
    <w:p>
      <w:pPr>
        <w:pStyle w:val="Heading2"/>
      </w:pPr>
      <w:r>
        <w:t>1.1 Objective</w:t>
      </w:r>
    </w:p>
    <w:p>
      <w:pPr>
        <w:widowControl/>
      </w:pPr>
      <w:r>
        <w:rPr>
          <w:rFonts w:ascii="Calibri" w:hAnsi="Calibri"/>
          <w:color w:val="17212B"/>
          <w:sz w:val="22"/>
        </w:rPr>
        <w:t>The MVP proves one complete enterprise outcome rather than a connector checklist: a closed-won Salesforce opportunity can be traced through operational order, payment, and subscription state into a governed finance-ready data product, with explicit freshness, PII, retention, lineage, and exception obligations. Users author and operate the bundle from Codex- or Claude-class desktop clients without placing credentials in chat. The compiler remains authoritative for meaning and legality; desktop clients remain replaceable source-language hosts.</w:t>
      </w:r>
    </w:p>
    <w:p>
      <w:pPr>
        <w:pStyle w:val="Caption"/>
        <w:keepNext/>
      </w:pPr>
      <w:r>
        <w:rPr>
          <w:rFonts w:ascii="Calibri" w:hAnsi="Calibri"/>
          <w:b/>
          <w:color w:val="173A5E"/>
          <w:sz w:val="18"/>
        </w:rPr>
        <w:t xml:space="preserve">Table 1. </w:t>
      </w:r>
      <w:r>
        <w:rPr>
          <w:rFonts w:ascii="Calibri" w:hAnsi="Calibri"/>
          <w:i/>
          <w:color w:val="66717C"/>
          <w:sz w:val="18"/>
        </w:rPr>
        <w:t>MVP decision summary</w:t>
      </w:r>
    </w:p>
    <w:tbl>
      <w:tblPr>
        <w:tblStyle w:val="TableGrid"/>
        <w:tblW w:type="dxa" w:w="9360"/>
        <w:jc w:val="left"/>
        <w:tblLayout w:type="fixed"/>
        <w:tblLook w:firstColumn="1" w:firstRow="1" w:lastColumn="0" w:lastRow="0" w:noHBand="0" w:noVBand="1" w:val="04A0"/>
        <w:tblInd w:type="dxa" w:w="120"/>
      </w:tblPr>
      <w:tblGrid>
        <w:gridCol w:w="1828"/>
        <w:gridCol w:w="4607"/>
        <w:gridCol w:w="2925"/>
      </w:tblGrid>
      <w:tr>
        <w:trPr>
          <w:tblHeader w:val="true"/>
          <w:cantSplit/>
        </w:trPr>
        <w:tc>
          <w:tcPr>
            <w:tcW w:type="dxa" w:w="18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Dimension</w:t>
            </w:r>
          </w:p>
        </w:tc>
        <w:tc>
          <w:tcPr>
            <w:tcW w:type="dxa" w:w="460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Committed MVP choice</w:t>
            </w:r>
          </w:p>
        </w:tc>
        <w:tc>
          <w:tcPr>
            <w:tcW w:type="dxa" w:w="292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Deferred choice</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Authoring</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Host-neutral MCP server used from Codex and Claude desktop clients</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Proprietary visual pipeline editor</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Sources</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PostgreSQL snapshot plus logical CDC; Salesforce bulk plus cursor acquisition</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Additional databases, SaaS systems, and arbitrary REST</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Destination</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Snowflake staged load and key-based merge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Multiple warehouses and operational sinks</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Transformation</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Existing dbt project, manifest, tests, lineage, and model versions</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Compiler-owned join or SQL framework</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Business proof</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Opportunity→order and payment→subscription reconciliation with evidence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General business-process engine</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Consumption</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Governed finance/sales MCP resources with PII and freshness policy</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Unrestricted SQL or agent write authority</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Execution</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Leased immutable partition work units on managed elastic workers</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General Spark or user-managed cluster</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Reliability</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Pinned input boundary, idempotent commit, checkpoint-after-receipt, reconciliation</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Universal exactly-once claim</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Messaging</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Managed work queue, durable state store, object staging, append-only evidence</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Customer-operated or mandatory Kafka</w:t>
            </w:r>
          </w:p>
        </w:tc>
      </w:tr>
      <w:tr>
        <w:trPr>
          <w:cantSplit/>
        </w:trPr>
        <w:tc>
          <w:tcPr>
            <w:tcW w:type="dxa" w:w="18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Networking</w:t>
            </w:r>
          </w:p>
        </w:tc>
        <w:tc>
          <w:tcPr>
            <w:tcW w:type="dxa" w:w="460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Managed public access plus outbound-only private Relay</w:t>
            </w:r>
          </w:p>
        </w:tc>
        <w:tc>
          <w:tcPr>
            <w:tcW w:type="dxa" w:w="292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Customer runtime farms</w:t>
            </w:r>
          </w:p>
        </w:tc>
      </w:tr>
    </w:tbl>
    <w:p>
      <w:pPr>
        <w:spacing w:after="20"/>
      </w:pPr>
    </w:p>
    <w:p>
      <w:pPr>
        <w:pStyle w:val="Heading2"/>
      </w:pPr>
      <w:r>
        <w:t>1.2 Success definition</w:t>
      </w:r>
    </w:p>
    <w:p>
      <w:pPr>
        <w:widowControl/>
      </w:pPr>
      <w:r>
        <w:rPr>
          <w:rFonts w:ascii="Calibri" w:hAnsi="Calibri"/>
          <w:color w:val="17212B"/>
          <w:sz w:val="22"/>
        </w:rPr>
        <w:t>The first cohort is successful when the complete Revenue-to-Cash bundle operates for 30 consecutive days: source contracts meet their envelopes, the dbt data product is version-bound and tested, declared lifecycle exceptions are detected within their windows, governed agent answers retain freshness and provenance, injected failures recover without unexplained divergence, and every material authoring and runtime decision is replayable. The cohort must also reproduce one L01 snapshot-mirror→incremental-mirror admission with instantiated D1–D8 obligations and one rule-table-miss rejection with No Valid Plan, an absent-rule explanation, unmet obligations, and a smallest-change counterfactual. Solver-derived minimal unsatisfiable cores remain post-MVP under the architecture specification's constraint-solving work. This validates the curated legality mechanism; it does not validate general equivalence, cost-based optimization, autonomous migration, or optimizer stability. Salesforce write-back remains a separately approved post-MVP gate.</w:t>
      </w:r>
    </w:p>
    <w:p>
      <w:pPr>
        <w:pStyle w:val="Heading1"/>
      </w:pPr>
      <w:r>
        <w:t>2 Scope and Non-goals</w:t>
      </w:r>
    </w:p>
    <w:p>
      <w:pPr>
        <w:pStyle w:val="Heading2"/>
      </w:pPr>
      <w:r>
        <w:t>2.1 Coherent business story</w:t>
      </w:r>
    </w:p>
    <w:p>
      <w:pPr>
        <w:widowControl/>
      </w:pPr>
      <w:r>
        <w:rPr>
          <w:rFonts w:ascii="Calibri" w:hAnsi="Calibri"/>
          <w:color w:val="17212B"/>
          <w:sz w:val="22"/>
        </w:rPr>
        <w:t>A B2B subscription business manages accounts, contacts, products, and opportunities in Salesforce. Its application records customers, orders, subscriptions, invoices, payments, refunds, and cancellations in PostgreSQL. Finance uses Snowflake and an existing dbt project for bookings, billings, collections, subscription state, and net revenue. The platform continuously proves whether closed business becomes an order and whether paid orders become active subscriptions, then exposes the governed result and exceptions to finance and sales agents.</w:t>
      </w:r>
    </w:p>
    <w:p>
      <w:pPr>
        <w:keepNext/>
        <w:jc w:val="center"/>
      </w:pPr>
      <w:r>
        <w:drawing>
          <wp:inline xmlns:a="http://schemas.openxmlformats.org/drawingml/2006/main" xmlns:pic="http://schemas.openxmlformats.org/drawingml/2006/picture">
            <wp:extent cx="5806440" cy="3225800"/>
            <wp:docPr id="1" name="Picture 1" descr="Revenue-to-Cash Evidence Loop and ownership boundaries."/>
            <wp:cNvGraphicFramePr>
              <a:graphicFrameLocks noChangeAspect="1"/>
            </wp:cNvGraphicFramePr>
            <a:graphic>
              <a:graphicData uri="http://schemas.openxmlformats.org/drawingml/2006/picture">
                <pic:pic>
                  <pic:nvPicPr>
                    <pic:cNvPr id="0" name="revenue_story.png"/>
                    <pic:cNvPicPr/>
                  </pic:nvPicPr>
                  <pic:blipFill>
                    <a:blip r:embed="rId11"/>
                    <a:stretch>
                      <a:fillRect/>
                    </a:stretch>
                  </pic:blipFill>
                  <pic:spPr>
                    <a:xfrm>
                      <a:off x="0" y="0"/>
                      <a:ext cx="5806440" cy="3225800"/>
                    </a:xfrm>
                    <a:prstGeom prst="rect"/>
                  </pic:spPr>
                </pic:pic>
              </a:graphicData>
            </a:graphic>
          </wp:inline>
        </w:drawing>
      </w:r>
    </w:p>
    <w:p>
      <w:pPr>
        <w:pStyle w:val="Caption"/>
      </w:pPr>
      <w:r>
        <w:rPr>
          <w:rFonts w:ascii="Calibri" w:hAnsi="Calibri"/>
          <w:b/>
          <w:color w:val="173A5E"/>
          <w:sz w:val="18"/>
        </w:rPr>
        <w:t xml:space="preserve">Figure 1. </w:t>
      </w:r>
      <w:r>
        <w:rPr>
          <w:rFonts w:ascii="Calibri" w:hAnsi="Calibri"/>
          <w:i/>
          <w:color w:val="66717C"/>
          <w:sz w:val="18"/>
        </w:rPr>
        <w:t>Revenue-to-Cash Evidence Loop and ownership boundaries.</w:t>
      </w:r>
    </w:p>
    <w:p>
      <w:pPr>
        <w:pStyle w:val="Heading2"/>
      </w:pPr>
      <w:r>
        <w:t>2.2 Competitor-pattern synthesis</w:t>
      </w:r>
    </w:p>
    <w:p>
      <w:pPr>
        <w:widowControl/>
      </w:pPr>
      <w:r>
        <w:rPr>
          <w:rFonts w:ascii="Calibri" w:hAnsi="Calibri"/>
          <w:color w:val="17212B"/>
          <w:sz w:val="22"/>
        </w:rPr>
        <w:t>The story combines use-case patterns that incumbent products normally demonstrate separately. The MVP is not a compatibility clone. Each pattern is admitted only where it tests a required architectural boundary.</w:t>
      </w:r>
    </w:p>
    <w:p>
      <w:pPr>
        <w:pStyle w:val="Caption"/>
        <w:keepNext/>
      </w:pPr>
      <w:r>
        <w:rPr>
          <w:rFonts w:ascii="Calibri" w:hAnsi="Calibri"/>
          <w:b/>
          <w:color w:val="173A5E"/>
          <w:sz w:val="18"/>
        </w:rPr>
        <w:t xml:space="preserve">Table 2. </w:t>
      </w:r>
      <w:r>
        <w:rPr>
          <w:rFonts w:ascii="Calibri" w:hAnsi="Calibri"/>
          <w:i/>
          <w:color w:val="66717C"/>
          <w:sz w:val="18"/>
        </w:rPr>
        <w:t>Patterns synthesized into one outcome</w:t>
      </w:r>
    </w:p>
    <w:tbl>
      <w:tblPr>
        <w:tblStyle w:val="TableGrid"/>
        <w:tblW w:type="dxa" w:w="9360"/>
        <w:jc w:val="left"/>
        <w:tblLayout w:type="fixed"/>
        <w:tblLook w:firstColumn="1" w:firstRow="1" w:lastColumn="0" w:lastRow="0" w:noHBand="0" w:noVBand="1" w:val="04A0"/>
        <w:tblInd w:type="dxa" w:w="120"/>
      </w:tblPr>
      <w:tblGrid>
        <w:gridCol w:w="2559"/>
        <w:gridCol w:w="4095"/>
        <w:gridCol w:w="2706"/>
      </w:tblGrid>
      <w:tr>
        <w:trPr>
          <w:tblHeader w:val="true"/>
          <w:cantSplit/>
        </w:trPr>
        <w:tc>
          <w:tcPr>
            <w:tcW w:type="dxa" w:w="255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Observed product pattern</w:t>
            </w:r>
          </w:p>
        </w:tc>
        <w:tc>
          <w:tcPr>
            <w:tcW w:type="dxa" w:w="409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MVP use</w:t>
            </w:r>
          </w:p>
        </w:tc>
        <w:tc>
          <w:tcPr>
            <w:tcW w:type="dxa" w:w="270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Architectural consequence</w:t>
            </w:r>
          </w:p>
        </w:tc>
      </w:tr>
      <w:tr>
        <w:trPr>
          <w:cantSplit/>
        </w:trPr>
        <w:tc>
          <w:tcPr>
            <w:tcW w:type="dxa" w:w="255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Fivetran-style managed replication</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Salesforce and PostgreSQL arrive in Snowflake on a declared schedule without customer runtime administration</w:t>
            </w:r>
          </w:p>
        </w:tc>
        <w:tc>
          <w:tcPr>
            <w:tcW w:type="dxa" w:w="27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The service owns freshness, retries, connector release, schema response, and incident detection</w:t>
            </w:r>
          </w:p>
        </w:tc>
      </w:tr>
      <w:tr>
        <w:trPr>
          <w:cantSplit/>
        </w:trPr>
        <w:tc>
          <w:tcPr>
            <w:tcW w:type="dxa" w:w="255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Airbyte-style connector extensibility</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The three reference capabilities are built through the same provider kit available to future teams</w:t>
            </w:r>
          </w:p>
        </w:tc>
        <w:tc>
          <w:tcPr>
            <w:tcW w:type="dxa" w:w="270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Connector speed is measured without allowing provider-local schedulers, secrets, or retry semantics</w:t>
            </w:r>
          </w:p>
        </w:tc>
      </w:tr>
      <w:tr>
        <w:trPr>
          <w:cantSplit/>
        </w:trPr>
        <w:tc>
          <w:tcPr>
            <w:tcW w:type="dxa" w:w="255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SnapLogic-style low-friction authoring</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 concise conversational flow discovers assets, resolves ambiguity, previews effects, and activates a verified digest</w:t>
            </w:r>
          </w:p>
        </w:tc>
        <w:tc>
          <w:tcPr>
            <w:tcW w:type="dxa" w:w="27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Interaction is replaceable; semantic authority remains server-side</w:t>
            </w:r>
          </w:p>
        </w:tc>
      </w:tr>
      <w:tr>
        <w:trPr>
          <w:cantSplit/>
        </w:trPr>
        <w:tc>
          <w:tcPr>
            <w:tcW w:type="dxa" w:w="255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Informatica-style governed customer/revenue view</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An existing dbt project binds commercial and operational records into a finance-owned data product</w:t>
            </w:r>
          </w:p>
        </w:tc>
        <w:tc>
          <w:tcPr>
            <w:tcW w:type="dxa" w:w="270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The compiler consumes catalog, ownership, policy, lineage, and tests; it does not create another catalog or transformation system</w:t>
            </w:r>
          </w:p>
        </w:tc>
      </w:tr>
      <w:tr>
        <w:trPr>
          <w:cantSplit/>
        </w:trPr>
        <w:tc>
          <w:tcPr>
            <w:tcW w:type="dxa" w:w="255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MuleSoft-style operational API access</w:t>
            </w:r>
          </w:p>
        </w:tc>
        <w:tc>
          <w:tcPr>
            <w:tcW w:type="dxa" w:w="40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The governed outcome is exposed to finance and sales through read-only MCP resources</w:t>
            </w:r>
          </w:p>
        </w:tc>
        <w:tc>
          <w:tcPr>
            <w:tcW w:type="dxa" w:w="27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Access is purpose-bound, policy-filtered, and evidence-bearing rather than an unrestricted action bus</w:t>
            </w:r>
          </w:p>
        </w:tc>
      </w:tr>
    </w:tbl>
    <w:p>
      <w:pPr>
        <w:spacing w:after="20"/>
      </w:pPr>
    </w:p>
    <w:p>
      <w:pPr>
        <w:pStyle w:val="Caption"/>
        <w:keepNext/>
      </w:pPr>
      <w:r>
        <w:rPr>
          <w:rFonts w:ascii="Calibri" w:hAnsi="Calibri"/>
          <w:b/>
          <w:color w:val="173A5E"/>
          <w:sz w:val="18"/>
        </w:rPr>
        <w:t xml:space="preserve">Table 3. </w:t>
      </w:r>
      <w:r>
        <w:rPr>
          <w:rFonts w:ascii="Calibri" w:hAnsi="Calibri"/>
          <w:i/>
          <w:color w:val="66717C"/>
          <w:sz w:val="18"/>
        </w:rPr>
        <w:t>Contract bundle</w:t>
      </w:r>
    </w:p>
    <w:tbl>
      <w:tblPr>
        <w:tblStyle w:val="TableGrid"/>
        <w:tblW w:type="dxa" w:w="9360"/>
        <w:jc w:val="left"/>
        <w:tblLayout w:type="fixed"/>
        <w:tblLook w:firstColumn="1" w:firstRow="1" w:lastColumn="0" w:lastRow="0" w:noHBand="0" w:noVBand="1" w:val="04A0"/>
        <w:tblInd w:type="dxa" w:w="120"/>
      </w:tblPr>
      <w:tblGrid>
        <w:gridCol w:w="2376"/>
        <w:gridCol w:w="4536"/>
        <w:gridCol w:w="2448"/>
      </w:tblGrid>
      <w:tr>
        <w:trPr>
          <w:tblHeader w:val="true"/>
          <w:cantSplit/>
        </w:trPr>
        <w:tc>
          <w:tcPr>
            <w:tcW w:type="dxa" w:w="237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Contract</w:t>
            </w:r>
          </w:p>
        </w:tc>
        <w:tc>
          <w:tcPr>
            <w:tcW w:type="dxa" w:w="453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Required behavior</w:t>
            </w:r>
          </w:p>
        </w:tc>
        <w:tc>
          <w:tcPr>
            <w:tcW w:type="dxa" w:w="244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Mechanism proven</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 Salesforce commercial acquisition</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Account, Contact, Opportunity, lines, product, pricebook, owner; OAuth; bulk snapshot; cursor updates; declared deletes</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SaaS discovery, OAuth lifecycle, pagination, quotas, schema evolution</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 PostgreSQL revenue operations</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Customer, Order, lines, Subscription, Invoice, Payment, Refund; consistent snapshot; logical CDC; private Relay option</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Snapshot/CDC handoff, deletes, replay, fencing, private reachability</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 Snowflake raw generations</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Isolated stage, manifest validation, idempotent merge, versioned schema and commit receipt</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Destination ambiguity resolution and checkpoint-after-receipt</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 Finance-ready data product</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Invoke existing dbt models and consume manifest, tests, lineage, owners, and model versions</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External transformation ownership; reproducible multi-source model binding</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 Revenue reconciliation</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Closed-won→order, paid order→active subscription, amount, invoice/payment, deletion and cancellation invariants</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Deterministic cross-system evidence and incident generation</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 Governed agent context</w:t>
            </w:r>
          </w:p>
        </w:tc>
        <w:tc>
          <w:tcPr>
            <w:tcW w:type="dxa" w:w="453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Finance/sales summaries, lifecycle status, exceptions, freshness, lineage; PII and purpose controls</w:t>
            </w:r>
          </w:p>
        </w:tc>
        <w:tc>
          <w:tcPr>
            <w:tcW w:type="dxa" w:w="244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Read-only MCP resources with policy and provenance</w:t>
            </w:r>
          </w:p>
        </w:tc>
      </w:tr>
    </w:tbl>
    <w:p>
      <w:pPr>
        <w:spacing w:after="20"/>
      </w:pPr>
    </w:p>
    <w:p>
      <w:pPr>
        <w:pStyle w:val="Heading2"/>
      </w:pPr>
      <w:r>
        <w:t>2.3 Permitted semantics</w:t>
      </w:r>
    </w:p>
    <w:p>
      <w:pPr>
        <w:numPr>
          <w:ilvl w:val="0"/>
          <w:numId w:val="10"/>
        </w:numPr>
        <w:spacing w:after="100" w:line="264" w:lineRule="auto"/>
        <w:ind w:left="540" w:hanging="270"/>
      </w:pPr>
      <w:r>
        <w:rPr>
          <w:rFonts w:ascii="Calibri" w:hAnsi="Calibri"/>
          <w:color w:val="17212B"/>
          <w:sz w:val="22"/>
        </w:rPr>
        <w:t>Source execution contracts remain single-source; the compiler does not implement the cross-source join.</w:t>
      </w:r>
    </w:p>
    <w:p>
      <w:pPr>
        <w:numPr>
          <w:ilvl w:val="0"/>
          <w:numId w:val="10"/>
        </w:numPr>
        <w:spacing w:after="100" w:line="264" w:lineRule="auto"/>
        <w:ind w:left="540" w:hanging="270"/>
      </w:pPr>
      <w:r>
        <w:rPr>
          <w:rFonts w:ascii="Calibri" w:hAnsi="Calibri"/>
          <w:color w:val="17212B"/>
          <w:sz w:val="22"/>
        </w:rPr>
        <w:t>Existing dbt models own Salesforce-to-operational customer matching and finance transformations.</w:t>
      </w:r>
    </w:p>
    <w:p>
      <w:pPr>
        <w:numPr>
          <w:ilvl w:val="0"/>
          <w:numId w:val="10"/>
        </w:numPr>
        <w:spacing w:after="100" w:line="264" w:lineRule="auto"/>
        <w:ind w:left="540" w:hanging="270"/>
      </w:pPr>
      <w:r>
        <w:rPr>
          <w:rFonts w:ascii="Calibri" w:hAnsi="Calibri"/>
          <w:color w:val="17212B"/>
          <w:sz w:val="22"/>
        </w:rPr>
        <w:t>The compiler binds the dbt project, manifest, tests, lineage, source generations, owners, and model version into the data-product contract.</w:t>
      </w:r>
    </w:p>
    <w:p>
      <w:pPr>
        <w:numPr>
          <w:ilvl w:val="0"/>
          <w:numId w:val="10"/>
        </w:numPr>
        <w:spacing w:after="100" w:line="264" w:lineRule="auto"/>
        <w:ind w:left="540" w:hanging="270"/>
      </w:pPr>
      <w:r>
        <w:rPr>
          <w:rFonts w:ascii="Calibri" w:hAnsi="Calibri"/>
          <w:color w:val="17212B"/>
          <w:sz w:val="22"/>
        </w:rPr>
        <w:t>Reconciliation evaluates only the contract's declared reconciliation scope and named exclusion classes; ambiguous mappings remain excluded and are not resolved by the compiler.</w:t>
      </w:r>
    </w:p>
    <w:p>
      <w:pPr>
        <w:numPr>
          <w:ilvl w:val="0"/>
          <w:numId w:val="10"/>
        </w:numPr>
        <w:spacing w:after="100" w:line="264" w:lineRule="auto"/>
        <w:ind w:left="540" w:hanging="270"/>
      </w:pPr>
      <w:r>
        <w:rPr>
          <w:rFonts w:ascii="Calibri" w:hAnsi="Calibri"/>
          <w:color w:val="17212B"/>
          <w:sz w:val="22"/>
        </w:rPr>
        <w:t>Filter, projection, rename, compatible cast, mask, key selection, and key-based upsert remain the only compiler-native transforms.</w:t>
      </w:r>
    </w:p>
    <w:p>
      <w:pPr>
        <w:numPr>
          <w:ilvl w:val="0"/>
          <w:numId w:val="10"/>
        </w:numPr>
        <w:spacing w:after="100" w:line="264" w:lineRule="auto"/>
        <w:ind w:left="540" w:hanging="270"/>
      </w:pPr>
      <w:r>
        <w:rPr>
          <w:rFonts w:ascii="Calibri" w:hAnsi="Calibri"/>
          <w:color w:val="17212B"/>
          <w:sz w:val="22"/>
        </w:rPr>
        <w:t>Freshness is measured source observation→Snowflake visibility and source visibility→data-product visibility.</w:t>
      </w:r>
    </w:p>
    <w:p>
      <w:pPr>
        <w:numPr>
          <w:ilvl w:val="0"/>
          <w:numId w:val="10"/>
        </w:numPr>
        <w:spacing w:after="100" w:line="264" w:lineRule="auto"/>
        <w:ind w:left="540" w:hanging="270"/>
      </w:pPr>
      <w:r>
        <w:rPr>
          <w:rFonts w:ascii="Calibri" w:hAnsi="Calibri"/>
          <w:color w:val="17212B"/>
          <w:sz w:val="22"/>
        </w:rPr>
        <w:t>At-least-once acquisition uses idempotent destination application; deletion behavior is fixed in activation.</w:t>
      </w:r>
    </w:p>
    <w:p>
      <w:pPr>
        <w:numPr>
          <w:ilvl w:val="0"/>
          <w:numId w:val="10"/>
        </w:numPr>
        <w:spacing w:after="100" w:line="264" w:lineRule="auto"/>
        <w:ind w:left="540" w:hanging="270"/>
      </w:pPr>
      <w:r>
        <w:rPr>
          <w:rFonts w:ascii="Calibri" w:hAnsi="Calibri"/>
          <w:color w:val="17212B"/>
          <w:sz w:val="22"/>
        </w:rPr>
        <w:t>T0 and T1 contracts only; recommendation or approval mode; no autonomous plan migration.</w:t>
      </w:r>
    </w:p>
    <w:p>
      <w:pPr>
        <w:pStyle w:val="Heading2"/>
      </w:pPr>
      <w:r>
        <w:t>2.4 Explicit exclusions</w:t>
      </w:r>
    </w:p>
    <w:p>
      <w:pPr>
        <w:numPr>
          <w:ilvl w:val="0"/>
          <w:numId w:val="10"/>
        </w:numPr>
        <w:spacing w:after="100" w:line="264" w:lineRule="auto"/>
        <w:ind w:left="540" w:hanging="270"/>
      </w:pPr>
      <w:r>
        <w:rPr>
          <w:rFonts w:ascii="Calibri" w:hAnsi="Calibri"/>
          <w:color w:val="17212B"/>
          <w:sz w:val="22"/>
        </w:rPr>
        <w:t>Compiler-native multi-source joins, aggregations, arbitrary code, or replacement for dbt.</w:t>
      </w:r>
    </w:p>
    <w:p>
      <w:pPr>
        <w:numPr>
          <w:ilvl w:val="0"/>
          <w:numId w:val="10"/>
        </w:numPr>
        <w:spacing w:after="100" w:line="264" w:lineRule="auto"/>
        <w:ind w:left="540" w:hanging="270"/>
      </w:pPr>
      <w:r>
        <w:rPr>
          <w:rFonts w:ascii="Calibri" w:hAnsi="Calibri"/>
          <w:color w:val="17212B"/>
          <w:sz w:val="22"/>
        </w:rPr>
        <w:t>Payment initiation, subscription provisioning, email delivery, or general business-process orchestration.</w:t>
      </w:r>
    </w:p>
    <w:p>
      <w:pPr>
        <w:numPr>
          <w:ilvl w:val="0"/>
          <w:numId w:val="10"/>
        </w:numPr>
        <w:spacing w:after="100" w:line="264" w:lineRule="auto"/>
        <w:ind w:left="540" w:hanging="270"/>
      </w:pPr>
      <w:r>
        <w:rPr>
          <w:rFonts w:ascii="Calibri" w:hAnsi="Calibri"/>
          <w:color w:val="17212B"/>
          <w:sz w:val="22"/>
        </w:rPr>
        <w:t>Salesforce mutation in the required MVP; bounded reconciliation-status write-back is post-MVP.</w:t>
      </w:r>
    </w:p>
    <w:p>
      <w:pPr>
        <w:numPr>
          <w:ilvl w:val="0"/>
          <w:numId w:val="10"/>
        </w:numPr>
        <w:spacing w:after="100" w:line="264" w:lineRule="auto"/>
        <w:ind w:left="540" w:hanging="270"/>
      </w:pPr>
      <w:r>
        <w:rPr>
          <w:rFonts w:ascii="Calibri" w:hAnsi="Calibri"/>
          <w:color w:val="17212B"/>
          <w:sz w:val="22"/>
        </w:rPr>
        <w:t>Bidirectional synchronization and non-repeatable external actions.</w:t>
      </w:r>
    </w:p>
    <w:p>
      <w:pPr>
        <w:numPr>
          <w:ilvl w:val="0"/>
          <w:numId w:val="10"/>
        </w:numPr>
        <w:spacing w:after="100" w:line="264" w:lineRule="auto"/>
        <w:ind w:left="540" w:hanging="270"/>
      </w:pPr>
      <w:r>
        <w:rPr>
          <w:rFonts w:ascii="Calibri" w:hAnsi="Calibri"/>
          <w:color w:val="17212B"/>
          <w:sz w:val="22"/>
        </w:rPr>
        <w:t>General Spark execution, user-controlled clusters, and customer Kafka administration.</w:t>
      </w:r>
    </w:p>
    <w:p>
      <w:pPr>
        <w:numPr>
          <w:ilvl w:val="0"/>
          <w:numId w:val="10"/>
        </w:numPr>
        <w:spacing w:after="100" w:line="264" w:lineRule="auto"/>
        <w:ind w:left="540" w:hanging="270"/>
      </w:pPr>
      <w:r>
        <w:rPr>
          <w:rFonts w:ascii="Calibri" w:hAnsi="Calibri"/>
          <w:color w:val="17212B"/>
          <w:sz w:val="22"/>
        </w:rPr>
        <w:t>Streaming windows, event-time joins, broad event routing, or arbitrary REST workflows.</w:t>
      </w:r>
    </w:p>
    <w:p>
      <w:pPr>
        <w:numPr>
          <w:ilvl w:val="0"/>
          <w:numId w:val="10"/>
        </w:numPr>
        <w:spacing w:after="100" w:line="264" w:lineRule="auto"/>
        <w:ind w:left="540" w:hanging="270"/>
      </w:pPr>
      <w:r>
        <w:rPr>
          <w:rFonts w:ascii="Calibri" w:hAnsi="Calibri"/>
          <w:color w:val="17212B"/>
          <w:sz w:val="22"/>
        </w:rPr>
        <w:t>Connector marketplace, more than three reference capabilities, or claims of universal API support.</w:t>
      </w:r>
    </w:p>
    <w:p>
      <w:pPr>
        <w:numPr>
          <w:ilvl w:val="0"/>
          <w:numId w:val="10"/>
        </w:numPr>
        <w:spacing w:after="100" w:line="264" w:lineRule="auto"/>
        <w:ind w:left="540" w:hanging="270"/>
      </w:pPr>
      <w:r>
        <w:rPr>
          <w:rFonts w:ascii="Calibri" w:hAnsi="Calibri"/>
          <w:color w:val="17212B"/>
          <w:sz w:val="22"/>
        </w:rPr>
        <w:t>Cross-region active-active execution, autonomous stateful optimization, standalone authoring application, or editable execution graph.</w:t>
      </w:r>
    </w:p>
    <w:p>
      <w:pPr>
        <w:pStyle w:val="Heading1"/>
      </w:pPr>
      <w:r>
        <w:t>3 System Architecture</w:t>
      </w:r>
    </w:p>
    <w:p>
      <w:pPr>
        <w:keepNext/>
        <w:jc w:val="center"/>
      </w:pPr>
      <w:r>
        <w:drawing>
          <wp:inline xmlns:a="http://schemas.openxmlformats.org/drawingml/2006/main" xmlns:pic="http://schemas.openxmlformats.org/drawingml/2006/picture">
            <wp:extent cx="5806440" cy="3225800"/>
            <wp:docPr id="2" name="Picture 2" descr="MVP trust boundary from desktop authoring through Revenue-to-Cash execution and exposure."/>
            <wp:cNvGraphicFramePr>
              <a:graphicFrameLocks noChangeAspect="1"/>
            </wp:cNvGraphicFramePr>
            <a:graphic>
              <a:graphicData uri="http://schemas.openxmlformats.org/drawingml/2006/picture">
                <pic:pic>
                  <pic:nvPicPr>
                    <pic:cNvPr id="0" name="mvp_overview.png"/>
                    <pic:cNvPicPr/>
                  </pic:nvPicPr>
                  <pic:blipFill>
                    <a:blip r:embed="rId12"/>
                    <a:stretch>
                      <a:fillRect/>
                    </a:stretch>
                  </pic:blipFill>
                  <pic:spPr>
                    <a:xfrm>
                      <a:off x="0" y="0"/>
                      <a:ext cx="5806440" cy="3225800"/>
                    </a:xfrm>
                    <a:prstGeom prst="rect"/>
                  </pic:spPr>
                </pic:pic>
              </a:graphicData>
            </a:graphic>
          </wp:inline>
        </w:drawing>
      </w:r>
    </w:p>
    <w:p>
      <w:pPr>
        <w:pStyle w:val="Caption"/>
      </w:pPr>
      <w:r>
        <w:rPr>
          <w:rFonts w:ascii="Calibri" w:hAnsi="Calibri"/>
          <w:b/>
          <w:color w:val="173A5E"/>
          <w:sz w:val="18"/>
        </w:rPr>
        <w:t xml:space="preserve">Figure 2. </w:t>
      </w:r>
      <w:r>
        <w:rPr>
          <w:rFonts w:ascii="Calibri" w:hAnsi="Calibri"/>
          <w:i/>
          <w:color w:val="66717C"/>
          <w:sz w:val="18"/>
        </w:rPr>
        <w:t>MVP trust boundary from desktop authoring through Revenue-to-Cash execution and exposure.</w:t>
      </w:r>
    </w:p>
    <w:p>
      <w:pPr>
        <w:pStyle w:val="Heading2"/>
      </w:pPr>
      <w:r>
        <w:t>3.1 Control-plane components</w:t>
      </w:r>
    </w:p>
    <w:p>
      <w:pPr>
        <w:pStyle w:val="Caption"/>
        <w:keepNext/>
      </w:pPr>
      <w:r>
        <w:rPr>
          <w:rFonts w:ascii="Calibri" w:hAnsi="Calibri"/>
          <w:b/>
          <w:color w:val="173A5E"/>
          <w:sz w:val="18"/>
        </w:rPr>
        <w:t xml:space="preserve">Table 4. </w:t>
      </w:r>
      <w:r>
        <w:rPr>
          <w:rFonts w:ascii="Calibri" w:hAnsi="Calibri"/>
          <w:i/>
          <w:color w:val="66717C"/>
          <w:sz w:val="18"/>
        </w:rPr>
        <w:t>Control-plane responsibilities</w:t>
      </w:r>
    </w:p>
    <w:tbl>
      <w:tblPr>
        <w:tblStyle w:val="TableGrid"/>
        <w:tblW w:type="dxa" w:w="9360"/>
        <w:jc w:val="left"/>
        <w:tblLayout w:type="fixed"/>
        <w:tblLook w:firstColumn="1" w:firstRow="1" w:lastColumn="0" w:lastRow="0" w:noHBand="0" w:noVBand="1" w:val="04A0"/>
        <w:tblInd w:type="dxa" w:w="120"/>
      </w:tblPr>
      <w:tblGrid>
        <w:gridCol w:w="2376"/>
        <w:gridCol w:w="3672"/>
        <w:gridCol w:w="3312"/>
      </w:tblGrid>
      <w:tr>
        <w:trPr>
          <w:tblHeader w:val="true"/>
          <w:cantSplit/>
        </w:trPr>
        <w:tc>
          <w:tcPr>
            <w:tcW w:type="dxa" w:w="237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Component</w:t>
            </w:r>
          </w:p>
        </w:tc>
        <w:tc>
          <w:tcPr>
            <w:tcW w:type="dxa" w:w="367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Owns</w:t>
            </w:r>
          </w:p>
        </w:tc>
        <w:tc>
          <w:tcPr>
            <w:tcW w:type="dxa" w:w="331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Must not own</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Contract Authoring MCP Server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Host-neutral tools/resources, sessions, authorization filtering, draft mutations</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Semantic validity or execution state</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Contract Service</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Versioned drafts, activation digests, approvals, lifecycle</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Credentials or physical scheduling</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Compiler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AST, semantic IIR, resolution, policy, legality, feasibility, deployment compilation</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Runtime retries or record-level nondeterminism</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Connection Broker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OAuth attempts, callbacks, token exchange/rotation, opaque connection handles</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Raw secrets in MCP results</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Provider Registry</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Versioned declarations, conformance tier, evidence validity</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Trust based on provider assertion alone</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Coordinator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Partition epochs, leases, fencing, checkpoints, migration admission</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Global execution serialization</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Evidence Service</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Append-only contract, plan, execution, reconciliation, and incident facts</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Unverifiable health synthesis</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dbt Adapter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Version-pinned invocation, manifest/test/lineage observation, model-run evidence</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Business transformation semantics or SQL authoring</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Reconciliation Evaluator</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Declared lifecycle predicates, deadlines, exceptions, evidence links</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Source mutation or probabilistic matching</w:t>
            </w:r>
          </w:p>
        </w:tc>
      </w:tr>
      <w:tr>
        <w:trPr>
          <w:cantSplit/>
        </w:trPr>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Context Exposure</w:t>
            </w:r>
          </w:p>
        </w:tc>
        <w:tc>
          <w:tcPr>
            <w:tcW w:type="dxa" w:w="367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Authorization-filtered finance/sales MCP resources and freshness/provenance</w:t>
            </w:r>
          </w:p>
        </w:tc>
        <w:tc>
          <w:tcPr>
            <w:tcW w:type="dxa" w:w="331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Unrestricted SQL or action authority</w:t>
            </w:r>
          </w:p>
        </w:tc>
      </w:tr>
    </w:tbl>
    <w:p>
      <w:pPr>
        <w:spacing w:after="20"/>
      </w:pPr>
    </w:p>
    <w:p>
      <w:pPr>
        <w:pStyle w:val="Heading2"/>
      </w:pPr>
      <w:r>
        <w:t>3.2 Data-plane components</w:t>
      </w:r>
    </w:p>
    <w:p>
      <w:pPr>
        <w:widowControl/>
      </w:pPr>
      <w:r>
        <w:rPr>
          <w:rFonts w:ascii="Calibri" w:hAnsi="Calibri"/>
          <w:color w:val="17212B"/>
          <w:sz w:val="22"/>
        </w:rPr>
        <w:t>Managed runtime cells execute signed graphs. Stateless workers pull leased partition work, resolve short-lived grants, read a bounded input, produce immutable staged output, commit through a provider-defined idempotent protocol, and emit evidence. An outbound-only Relay performs the same restricted capability invocation for private PostgreSQL. It has no planning authority and owns state only when named by a contract partition and epoch.</w:t>
      </w:r>
    </w:p>
    <w:p>
      <w:pPr>
        <w:pStyle w:val="Heading2"/>
      </w:pPr>
      <w:r>
        <w:t>3.3 Durable stores</w:t>
      </w:r>
    </w:p>
    <w:p>
      <w:pPr>
        <w:pStyle w:val="Caption"/>
        <w:keepNext/>
      </w:pPr>
      <w:r>
        <w:rPr>
          <w:rFonts w:ascii="Calibri" w:hAnsi="Calibri"/>
          <w:b/>
          <w:color w:val="173A5E"/>
          <w:sz w:val="18"/>
        </w:rPr>
        <w:t xml:space="preserve">Table 5. </w:t>
      </w:r>
      <w:r>
        <w:rPr>
          <w:rFonts w:ascii="Calibri" w:hAnsi="Calibri"/>
          <w:i/>
          <w:color w:val="66717C"/>
          <w:sz w:val="18"/>
        </w:rPr>
        <w:t>Durable store boundaries</w:t>
      </w:r>
    </w:p>
    <w:tbl>
      <w:tblPr>
        <w:tblStyle w:val="TableGrid"/>
        <w:tblW w:type="dxa" w:w="9360"/>
        <w:jc w:val="left"/>
        <w:tblLayout w:type="fixed"/>
        <w:tblLook w:firstColumn="1" w:firstRow="1" w:lastColumn="0" w:lastRow="0" w:noHBand="0" w:noVBand="1" w:val="04A0"/>
        <w:tblInd w:type="dxa" w:w="120"/>
      </w:tblPr>
      <w:tblGrid>
        <w:gridCol w:w="2016"/>
        <w:gridCol w:w="4608"/>
        <w:gridCol w:w="2736"/>
      </w:tblGrid>
      <w:tr>
        <w:trPr>
          <w:tblHeader w:val="true"/>
          <w:cantSplit/>
        </w:trPr>
        <w:tc>
          <w:tcPr>
            <w:tcW w:type="dxa" w:w="201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Store</w:t>
            </w:r>
          </w:p>
        </w:tc>
        <w:tc>
          <w:tcPr>
            <w:tcW w:type="dxa" w:w="460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Contents</w:t>
            </w:r>
          </w:p>
        </w:tc>
        <w:tc>
          <w:tcPr>
            <w:tcW w:type="dxa" w:w="273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Consistency requirement</w:t>
            </w:r>
          </w:p>
        </w:tc>
      </w:tr>
      <w:tr>
        <w:trPr>
          <w:cantSplit/>
        </w:trPr>
        <w:tc>
          <w:tcPr>
            <w:tcW w:type="dxa" w:w="20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Contract store</w:t>
            </w:r>
          </w:p>
        </w:tc>
        <w:tc>
          <w:tcPr>
            <w:tcW w:type="dxa" w:w="460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Drafts, versions, approvals, activation digests</w:t>
            </w:r>
          </w:p>
        </w:tc>
        <w:tc>
          <w:tcPr>
            <w:tcW w:type="dxa" w:w="27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Serializable lifecycle transitions per contract</w:t>
            </w:r>
          </w:p>
        </w:tc>
      </w:tr>
      <w:tr>
        <w:trPr>
          <w:cantSplit/>
        </w:trPr>
        <w:tc>
          <w:tcPr>
            <w:tcW w:type="dxa" w:w="201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Coordination store</w:t>
            </w:r>
          </w:p>
        </w:tc>
        <w:tc>
          <w:tcPr>
            <w:tcW w:type="dxa" w:w="460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Epochs, leases, fences, checkpoints, pending commits</w:t>
            </w:r>
          </w:p>
        </w:tc>
        <w:tc>
          <w:tcPr>
            <w:tcW w:type="dxa" w:w="273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Conditional writes and monotonic epochs</w:t>
            </w:r>
          </w:p>
        </w:tc>
      </w:tr>
      <w:tr>
        <w:trPr>
          <w:cantSplit/>
        </w:trPr>
        <w:tc>
          <w:tcPr>
            <w:tcW w:type="dxa" w:w="20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Object staging</w:t>
            </w:r>
          </w:p>
        </w:tc>
        <w:tc>
          <w:tcPr>
            <w:tcW w:type="dxa" w:w="460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Immutable extraction segments, manifests, replay inputs</w:t>
            </w:r>
          </w:p>
        </w:tc>
        <w:tc>
          <w:tcPr>
            <w:tcW w:type="dxa" w:w="27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Content integrity and retention bounds</w:t>
            </w:r>
          </w:p>
        </w:tc>
      </w:tr>
      <w:tr>
        <w:trPr>
          <w:cantSplit/>
        </w:trPr>
        <w:tc>
          <w:tcPr>
            <w:tcW w:type="dxa" w:w="201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Evidence log</w:t>
            </w:r>
          </w:p>
        </w:tc>
        <w:tc>
          <w:tcPr>
            <w:tcW w:type="dxa" w:w="460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Decision, runtime, reconciliation, and incident events</w:t>
            </w:r>
          </w:p>
        </w:tc>
        <w:tc>
          <w:tcPr>
            <w:tcW w:type="dxa" w:w="273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Append-only, tamper-evident ordering per contract</w:t>
            </w:r>
          </w:p>
        </w:tc>
      </w:tr>
      <w:tr>
        <w:trPr>
          <w:cantSplit/>
        </w:trPr>
        <w:tc>
          <w:tcPr>
            <w:tcW w:type="dxa" w:w="201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Secret store</w:t>
            </w:r>
          </w:p>
        </w:tc>
        <w:tc>
          <w:tcPr>
            <w:tcW w:type="dxa" w:w="460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OAuth tokens, keys, database credentials</w:t>
            </w:r>
          </w:p>
        </w:tc>
        <w:tc>
          <w:tcPr>
            <w:tcW w:type="dxa" w:w="273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Envelope encryption, scoped retrieval, rotation</w:t>
            </w:r>
          </w:p>
        </w:tc>
      </w:tr>
    </w:tbl>
    <w:p>
      <w:pPr>
        <w:spacing w:after="20"/>
      </w:pPr>
    </w:p>
    <w:p>
      <w:pPr>
        <w:pStyle w:val="Heading2"/>
      </w:pPr>
      <w:r>
        <w:t>3.4 Cross-source semantics</w:t>
      </w:r>
    </w:p>
    <w:p>
      <w:pPr>
        <w:widowControl/>
      </w:pPr>
      <w:r>
        <w:rPr>
          <w:rFonts w:ascii="Calibri" w:hAnsi="Calibri"/>
          <w:color w:val="17212B"/>
          <w:sz w:val="22"/>
        </w:rPr>
        <w:t>The source contracts create immutable, versioned Salesforce and PostgreSQL generations. An external dbt run consumes those exact generations and emits a versioned finance data product. The compiler records the dbt project digest, manifest, selected model graph, test results, source-generation identities, and destination relation generation. Reconciliation evaluates declared predicates over the materialized data product and linked source evidence. If matching keys or dbt tests are Unknown, the data product cannot become Conforming.</w:t>
      </w:r>
    </w:p>
    <w:p>
      <w:pPr>
        <w:pStyle w:val="Heading1"/>
      </w:pPr>
      <w:r>
        <w:t>4 Desktop Authoring over MCP</w:t>
      </w:r>
    </w:p>
    <w:p>
      <w:pPr>
        <w:pStyle w:val="Heading2"/>
      </w:pPr>
      <w:r>
        <w:t>4.1 Client trust model</w:t>
      </w:r>
    </w:p>
    <w:p>
      <w:pPr>
        <w:widowControl/>
      </w:pPr>
      <w:r>
        <w:rPr>
          <w:rFonts w:ascii="Calibri" w:hAnsi="Calibri"/>
          <w:color w:val="17212B"/>
          <w:sz w:val="22"/>
        </w:rPr>
        <w:t>Codex and Claude are untrusted conversational frontends. They may propose structured intent, call authorized tools, and explain deterministic results. They cannot validate semantics, relax policy, handle raw credentials, produce an execution graph, or turn natural-language assent into activation authority. All durable state is server-side; conversation history is context, not the system of record.</w:t>
      </w:r>
    </w:p>
    <w:p>
      <w:pPr>
        <w:pStyle w:val="Caption"/>
        <w:keepNext/>
      </w:pPr>
      <w:r>
        <w:rPr>
          <w:rFonts w:ascii="Calibri" w:hAnsi="Calibri"/>
          <w:b/>
          <w:color w:val="173A5E"/>
          <w:sz w:val="18"/>
        </w:rPr>
        <w:t xml:space="preserve">Table 6. </w:t>
      </w:r>
      <w:r>
        <w:rPr>
          <w:rFonts w:ascii="Calibri" w:hAnsi="Calibri"/>
          <w:i/>
          <w:color w:val="66717C"/>
          <w:sz w:val="18"/>
        </w:rPr>
        <w:t>MCP surface</w:t>
      </w:r>
    </w:p>
    <w:tbl>
      <w:tblPr>
        <w:tblStyle w:val="TableGrid"/>
        <w:tblW w:type="dxa" w:w="9360"/>
        <w:jc w:val="left"/>
        <w:tblLayout w:type="fixed"/>
        <w:tblLook w:firstColumn="1" w:firstRow="1" w:lastColumn="0" w:lastRow="0" w:noHBand="0" w:noVBand="1" w:val="04A0"/>
        <w:tblInd w:type="dxa" w:w="120"/>
      </w:tblPr>
      <w:tblGrid>
        <w:gridCol w:w="1728"/>
        <w:gridCol w:w="5328"/>
        <w:gridCol w:w="2304"/>
      </w:tblGrid>
      <w:tr>
        <w:trPr>
          <w:tblHeader w:val="true"/>
          <w:cantSplit/>
        </w:trPr>
        <w:tc>
          <w:tcPr>
            <w:tcW w:type="dxa" w:w="17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Surface</w:t>
            </w:r>
          </w:p>
        </w:tc>
        <w:tc>
          <w:tcPr>
            <w:tcW w:type="dxa" w:w="53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MVP operations</w:t>
            </w:r>
          </w:p>
        </w:tc>
        <w:tc>
          <w:tcPr>
            <w:tcW w:type="dxa" w:w="230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Effect class</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Resources</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Draft, activation summary, revenue product, lifecycle status, exceptions, freshness, lineage, evidence, incident timeline</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Read-only and authorization-filtered</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Discover</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Find authorized datasets, endpoints, objects, and concepts</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Read-only</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Draft</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Create draft; apply intent delta; record clarification</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Reversible control-plane mutation</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Analyze</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Resolve, validate, solve, and explain feasibility</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Read-only compilation</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Connect</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Begin OAuth or secure credential-entry flow</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Security-sensitive control operation</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Verify</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Create immutable activation summary and verification digest</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Read-only compilation with retained evidence</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Activate</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Activate an exact verified digest</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Production data effect; explicit approval</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Operate</w:t>
            </w:r>
          </w:p>
        </w:tc>
        <w:tc>
          <w:tcPr>
            <w:tcW w:type="dxa" w:w="53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Pause, resume, reauthorize, request isolated backfill</w:t>
            </w:r>
          </w:p>
        </w:tc>
        <w:tc>
          <w:tcPr>
            <w:tcW w:type="dxa" w:w="230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Operational effect</w:t>
            </w:r>
          </w:p>
        </w:tc>
      </w:tr>
    </w:tbl>
    <w:p>
      <w:pPr>
        <w:spacing w:after="20"/>
      </w:pPr>
    </w:p>
    <w:p>
      <w:pPr>
        <w:pStyle w:val="Heading2"/>
      </w:pPr>
      <w:r>
        <w:t>4.2 Authoring state machine</w:t>
      </w:r>
    </w:p>
    <w:p>
      <w:pPr>
        <w:numPr>
          <w:ilvl w:val="0"/>
          <w:numId w:val="12"/>
        </w:numPr>
        <w:spacing w:after="100" w:line="264" w:lineRule="auto"/>
        <w:ind w:left="540" w:hanging="270"/>
      </w:pPr>
      <w:r>
        <w:rPr>
          <w:rFonts w:ascii="Calibri" w:hAnsi="Calibri"/>
          <w:color w:val="17212B"/>
          <w:sz w:val="22"/>
        </w:rPr>
        <w:t>The client discovers only authorized Salesforce, PostgreSQL, Snowflake, dbt, catalog, and policy metadata.</w:t>
      </w:r>
    </w:p>
    <w:p>
      <w:pPr>
        <w:numPr>
          <w:ilvl w:val="0"/>
          <w:numId w:val="12"/>
        </w:numPr>
        <w:spacing w:after="100" w:line="264" w:lineRule="auto"/>
        <w:ind w:left="540" w:hanging="270"/>
      </w:pPr>
      <w:r>
        <w:rPr>
          <w:rFonts w:ascii="Calibri" w:hAnsi="Calibri"/>
          <w:color w:val="17212B"/>
          <w:sz w:val="22"/>
        </w:rPr>
        <w:t>The user states the Revenue-to-Cash outcome; the client submits a bounded contract-bundle proposal.</w:t>
      </w:r>
    </w:p>
    <w:p>
      <w:pPr>
        <w:numPr>
          <w:ilvl w:val="0"/>
          <w:numId w:val="12"/>
        </w:numPr>
        <w:spacing w:after="100" w:line="264" w:lineRule="auto"/>
        <w:ind w:left="540" w:hanging="270"/>
      </w:pPr>
      <w:r>
        <w:rPr>
          <w:rFonts w:ascii="Calibri" w:hAnsi="Calibri"/>
          <w:color w:val="17212B"/>
          <w:sz w:val="22"/>
        </w:rPr>
        <w:t>The compiler resolves source objects, destination, dbt models, matching-key authorities, PII, retention, freshness, consumers, and reconciliation predicates.</w:t>
      </w:r>
    </w:p>
    <w:p>
      <w:pPr>
        <w:numPr>
          <w:ilvl w:val="0"/>
          <w:numId w:val="12"/>
        </w:numPr>
        <w:spacing w:after="100" w:line="264" w:lineRule="auto"/>
        <w:ind w:left="540" w:hanging="270"/>
      </w:pPr>
      <w:r>
        <w:rPr>
          <w:rFonts w:ascii="Calibri" w:hAnsi="Calibri"/>
          <w:color w:val="17212B"/>
          <w:sz w:val="22"/>
        </w:rPr>
        <w:t>The client asks only material questions, including authoritative customer key, deletion behavior, exception windows, and permitted agent roles.</w:t>
      </w:r>
    </w:p>
    <w:p>
      <w:pPr>
        <w:numPr>
          <w:ilvl w:val="0"/>
          <w:numId w:val="12"/>
        </w:numPr>
        <w:spacing w:after="100" w:line="264" w:lineRule="auto"/>
        <w:ind w:left="540" w:hanging="270"/>
      </w:pPr>
      <w:r>
        <w:rPr>
          <w:rFonts w:ascii="Calibri" w:hAnsi="Calibri"/>
          <w:color w:val="17212B"/>
          <w:sz w:val="22"/>
        </w:rPr>
        <w:t>Verification emits one activation summary with source contracts, dbt binding, reconciliation invariants, exposure, defaults, cost, and evidence requirements.</w:t>
      </w:r>
    </w:p>
    <w:p>
      <w:pPr>
        <w:numPr>
          <w:ilvl w:val="0"/>
          <w:numId w:val="12"/>
        </w:numPr>
        <w:spacing w:after="100" w:line="264" w:lineRule="auto"/>
        <w:ind w:left="540" w:hanging="270"/>
      </w:pPr>
      <w:r>
        <w:rPr>
          <w:rFonts w:ascii="Calibri" w:hAnsi="Calibri"/>
          <w:color w:val="17212B"/>
          <w:sz w:val="22"/>
        </w:rPr>
        <w:t>The client presents that exact digest and invokes activation only after explicit user action.</w:t>
      </w:r>
    </w:p>
    <w:p>
      <w:pPr>
        <w:numPr>
          <w:ilvl w:val="0"/>
          <w:numId w:val="12"/>
        </w:numPr>
        <w:spacing w:after="100" w:line="264" w:lineRule="auto"/>
        <w:ind w:left="540" w:hanging="270"/>
      </w:pPr>
      <w:r>
        <w:rPr>
          <w:rFonts w:ascii="Calibri" w:hAnsi="Calibri"/>
          <w:color w:val="17212B"/>
          <w:sz w:val="22"/>
        </w:rPr>
        <w:t>The server rechecks identity, roles, digest, evidence age, policy, provider attestations, and dbt compatibility before creating source epochs and the initial data-product generation.</w:t>
      </w:r>
    </w:p>
    <w:p>
      <w:pPr>
        <w:pStyle w:val="Heading2"/>
      </w:pPr>
      <w:r>
        <w:t>4.3 Activation invariant</w:t>
      </w:r>
    </w:p>
    <w:p>
      <w:pPr>
        <w:spacing w:before="80" w:after="160" w:line="259" w:lineRule="auto"/>
        <w:ind w:left="173" w:right="115"/>
        <w:shd w:fill="F9E3E3"/>
        <w:pBdr>
          <w:left w:val="single" w:sz="18" w:space="8" w:color="A33A3A"/>
        </w:pBdr>
      </w:pPr>
      <w:r>
        <w:rPr>
          <w:rFonts w:ascii="Calibri" w:hAnsi="Calibri"/>
          <w:b/>
          <w:color w:val="173A5E"/>
          <w:sz w:val="21"/>
        </w:rPr>
        <w:t xml:space="preserve">Hard boundary: </w:t>
      </w:r>
      <w:r>
        <w:rPr>
          <w:rFonts w:ascii="Calibri" w:hAnsi="Calibri"/>
          <w:color w:val="17212B"/>
          <w:sz w:val="21"/>
        </w:rPr>
        <w:t>If any contract field changes after verification, the activation digest changes and prior approval is invalid. The server never accepts client prose such as “the user approved” as authorization.</w:t>
      </w:r>
    </w:p>
    <w:p>
      <w:pPr>
        <w:pStyle w:val="Heading2"/>
      </w:pPr>
      <w:r>
        <w:t>4.4 Host portability</w:t>
      </w:r>
    </w:p>
    <w:p>
      <w:pPr>
        <w:widowControl/>
      </w:pPr>
      <w:r>
        <w:rPr>
          <w:rFonts w:ascii="Calibri" w:hAnsi="Calibri"/>
          <w:color w:val="17212B"/>
          <w:sz w:val="22"/>
        </w:rPr>
        <w:t>The compatibility baseline uses MCP tools, resources, structured results, Markdown summaries, browser links for OAuth, and polling or notifications for long operations. Correctness cannot depend on client-specific widgets, hidden prompts, local files, conversation replay, or one vendor's confirmation UI. The same Revenue-to-Cash draft, activation summary, exception investigation, and operational context must be resumable from another conforming desktop host.</w:t>
      </w:r>
    </w:p>
    <w:p>
      <w:pPr>
        <w:pStyle w:val="Heading1"/>
      </w:pPr>
      <w:r>
        <w:t>5 Elastic Execution Model</w:t>
      </w:r>
    </w:p>
    <w:p>
      <w:pPr>
        <w:pStyle w:val="Heading2"/>
      </w:pPr>
      <w:r>
        <w:t>5.1 RDD lesson without Spark coupling</w:t>
      </w:r>
    </w:p>
    <w:p>
      <w:pPr>
        <w:widowControl/>
      </w:pPr>
      <w:r>
        <w:rPr>
          <w:rFonts w:ascii="Calibri" w:hAnsi="Calibri"/>
          <w:color w:val="17212B"/>
          <w:sz w:val="22"/>
        </w:rPr>
        <w:t>The useful RDD properties are immutable partition descriptions, deterministic functions, lineage, data-local scheduling where possible, and recomputation after worker loss. The MVP adopts those properties as compiler-generated partition work units. It does not embed Spark as a customer-visible runtime. Mutable external sources require stronger input identity than RDD lineage alone: a retry must name a snapshot, log position, stable API cursor interval, or persisted extraction segment.</w:t>
      </w:r>
    </w:p>
    <w:p>
      <w:pPr>
        <w:pStyle w:val="Caption"/>
        <w:keepNext/>
      </w:pPr>
      <w:r>
        <w:rPr>
          <w:rFonts w:ascii="Calibri" w:hAnsi="Calibri"/>
          <w:b/>
          <w:color w:val="173A5E"/>
          <w:sz w:val="18"/>
        </w:rPr>
        <w:t xml:space="preserve">Table 7. </w:t>
      </w:r>
      <w:r>
        <w:rPr>
          <w:rFonts w:ascii="Calibri" w:hAnsi="Calibri"/>
          <w:i/>
          <w:color w:val="66717C"/>
          <w:sz w:val="18"/>
        </w:rPr>
        <w:t>Partition work-unit contract</w:t>
      </w:r>
    </w:p>
    <w:tbl>
      <w:tblPr>
        <w:tblStyle w:val="TableGrid"/>
        <w:tblW w:type="dxa" w:w="9360"/>
        <w:jc w:val="left"/>
        <w:tblLayout w:type="fixed"/>
        <w:tblLook w:firstColumn="1" w:firstRow="1" w:lastColumn="0" w:lastRow="0" w:noHBand="0" w:noVBand="1" w:val="04A0"/>
        <w:tblInd w:type="dxa" w:w="120"/>
      </w:tblPr>
      <w:tblGrid>
        <w:gridCol w:w="2971"/>
        <w:gridCol w:w="6389"/>
      </w:tblGrid>
      <w:tr>
        <w:trPr>
          <w:tblHeader w:val="true"/>
          <w:cantSplit/>
        </w:trPr>
        <w:tc>
          <w:tcPr>
            <w:tcW w:type="dxa" w:w="297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Field</w:t>
            </w:r>
          </w:p>
        </w:tc>
        <w:tc>
          <w:tcPr>
            <w:tcW w:type="dxa" w:w="638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Purpose</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Contract and graph digest</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Pins semantic and physical authority</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Partition identity</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Stable unit for lease, evidence, and retry</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Bounded input</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Snapshot range, LSN interval, object/time window, or page cursor</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Transform fragment</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Deterministic IIR-derived operations</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Output generation and batch identity</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Isolates staging and resolves retries</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Checkpoint rule</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Defines the evidence required before progress advances</w:t>
            </w:r>
          </w:p>
        </w:tc>
      </w:tr>
      <w:tr>
        <w:trPr>
          <w:cantSplit/>
        </w:trPr>
        <w:tc>
          <w:tcPr>
            <w:tcW w:type="dxa" w:w="297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Resource envelope</w:t>
            </w:r>
          </w:p>
        </w:tc>
        <w:tc>
          <w:tcPr>
            <w:tcW w:type="dxa" w:w="638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Memory, CPU, bytes, duration, and provider quota</w:t>
            </w:r>
          </w:p>
        </w:tc>
      </w:tr>
    </w:tbl>
    <w:p>
      <w:pPr>
        <w:spacing w:after="20"/>
      </w:pPr>
    </w:p>
    <w:p>
      <w:pPr>
        <w:pStyle w:val="Heading2"/>
      </w:pPr>
      <w:r>
        <w:t>5.2 Partitioning</w:t>
      </w:r>
    </w:p>
    <w:p>
      <w:pPr>
        <w:pStyle w:val="Caption"/>
        <w:keepNext/>
      </w:pPr>
      <w:r>
        <w:rPr>
          <w:rFonts w:ascii="Calibri" w:hAnsi="Calibri"/>
          <w:b/>
          <w:color w:val="173A5E"/>
          <w:sz w:val="18"/>
        </w:rPr>
        <w:t xml:space="preserve">Table 8. </w:t>
      </w:r>
      <w:r>
        <w:rPr>
          <w:rFonts w:ascii="Calibri" w:hAnsi="Calibri"/>
          <w:i/>
          <w:color w:val="66717C"/>
          <w:sz w:val="18"/>
        </w:rPr>
        <w:t>MVP partition strategies</w:t>
      </w:r>
    </w:p>
    <w:tbl>
      <w:tblPr>
        <w:tblStyle w:val="TableGrid"/>
        <w:tblW w:type="dxa" w:w="9360"/>
        <w:jc w:val="left"/>
        <w:tblLayout w:type="fixed"/>
        <w:tblLook w:firstColumn="1" w:firstRow="1" w:lastColumn="0" w:lastRow="0" w:noHBand="0" w:noVBand="1" w:val="04A0"/>
        <w:tblInd w:type="dxa" w:w="120"/>
      </w:tblPr>
      <w:tblGrid>
        <w:gridCol w:w="2303"/>
        <w:gridCol w:w="4457"/>
        <w:gridCol w:w="2600"/>
      </w:tblGrid>
      <w:tr>
        <w:trPr>
          <w:tblHeader w:val="true"/>
          <w:cantSplit/>
        </w:trPr>
        <w:tc>
          <w:tcPr>
            <w:tcW w:type="dxa" w:w="230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Capability</w:t>
            </w:r>
          </w:p>
        </w:tc>
        <w:tc>
          <w:tcPr>
            <w:tcW w:type="dxa" w:w="445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Initial strategy</w:t>
            </w:r>
          </w:p>
        </w:tc>
        <w:tc>
          <w:tcPr>
            <w:tcW w:type="dxa" w:w="260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Skew and limit response</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PostgreSQL snapshot</w:t>
            </w:r>
          </w:p>
        </w:tc>
        <w:tc>
          <w:tcPr>
            <w:tcW w:type="dxa" w:w="44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Primary-key ranges under one consistent snapshot</w:t>
            </w:r>
          </w:p>
        </w:tc>
        <w:tc>
          <w:tcPr>
            <w:tcW w:type="dxa" w:w="260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Split ranges using sampled quantiles; isolate unsplittable hot ranges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PostgreSQL CDC</w:t>
            </w:r>
          </w:p>
        </w:tc>
        <w:tc>
          <w:tcPr>
            <w:tcW w:type="dxa" w:w="44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LSN-bounded stream partitioned only where ordering permits</w:t>
            </w:r>
          </w:p>
        </w:tc>
        <w:tc>
          <w:tcPr>
            <w:tcW w:type="dxa" w:w="260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Backpressure at source slot; do not fabricate parallel order</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Salesforce snapshot</w:t>
            </w:r>
          </w:p>
        </w:tc>
        <w:tc>
          <w:tcPr>
            <w:tcW w:type="dxa" w:w="44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Object plus provider-supported bulk query batches</w:t>
            </w:r>
          </w:p>
        </w:tc>
        <w:tc>
          <w:tcPr>
            <w:tcW w:type="dxa" w:w="260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Respect job and daily API quotas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Salesforce incremental</w:t>
            </w:r>
          </w:p>
        </w:tc>
        <w:tc>
          <w:tcPr>
            <w:tcW w:type="dxa" w:w="44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Object plus non-overlapping cursor/time windows</w:t>
            </w:r>
          </w:p>
        </w:tc>
        <w:tc>
          <w:tcPr>
            <w:tcW w:type="dxa" w:w="260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Overlap and deduplicate when cursor semantics require it</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Snowflake load</w:t>
            </w:r>
          </w:p>
        </w:tc>
        <w:tc>
          <w:tcPr>
            <w:tcW w:type="dxa" w:w="44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Immutable stage files grouped by destination batch</w:t>
            </w:r>
          </w:p>
        </w:tc>
        <w:tc>
          <w:tcPr>
            <w:tcW w:type="dxa" w:w="260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Resize file groups within destination concurrency envelope</w:t>
            </w:r>
          </w:p>
        </w:tc>
      </w:tr>
    </w:tbl>
    <w:p>
      <w:pPr>
        <w:spacing w:after="20"/>
      </w:pPr>
    </w:p>
    <w:p>
      <w:pPr>
        <w:pStyle w:val="Heading2"/>
      </w:pPr>
      <w:r>
        <w:t>5.3 Scaling controller</w:t>
      </w:r>
    </w:p>
    <w:p>
      <w:pPr>
        <w:widowControl/>
      </w:pPr>
      <w:r>
        <w:rPr>
          <w:rFonts w:ascii="Calibri" w:hAnsi="Calibri"/>
          <w:color w:val="17212B"/>
          <w:sz w:val="22"/>
        </w:rPr>
        <w:t>The controller computes desired concurrency from backlog bytes and records, observed per-partition throughput, freshness slack, source and destination quotas, tenant envelope, worker availability, and skew confidence. Scale-out is capped by the minimum provider and tenant limit. Scale-in drains leases at checkpoint boundaries. Missing or stale rate evidence produces conservative admission. Users never select executors, partitions, worker memory, or cluster size.</w:t>
      </w:r>
    </w:p>
    <w:p>
      <w:pPr>
        <w:spacing w:before="80" w:after="160" w:line="259" w:lineRule="auto"/>
        <w:ind w:left="173" w:right="115"/>
        <w:shd w:fill="EAF1F6"/>
        <w:pBdr>
          <w:left w:val="single" w:sz="18" w:space="8" w:color="2E6E9E"/>
        </w:pBdr>
      </w:pPr>
      <w:r>
        <w:rPr>
          <w:rFonts w:ascii="Calibri" w:hAnsi="Calibri"/>
          <w:b/>
          <w:color w:val="173A5E"/>
          <w:sz w:val="21"/>
        </w:rPr>
        <w:t xml:space="preserve">First-cohort target: </w:t>
      </w:r>
      <w:r>
        <w:rPr>
          <w:rFonts w:ascii="Calibri" w:hAnsi="Calibri"/>
          <w:color w:val="17212B"/>
          <w:sz w:val="21"/>
        </w:rPr>
        <w:t>Treat the source-load ceiling as a declared contract parameter. Demonstrate elastic scale-out and scale-in against each partner only within its DBA-approved ceiling, while preserving destination correctness and freshness accounting. Separately demonstrate 1→100 concurrent snapshot partitions against a synthetic or isolated source with the same work-unit and commit protocol.</w:t>
      </w:r>
    </w:p>
    <w:p>
      <w:pPr>
        <w:pStyle w:val="Heading1"/>
      </w:pPr>
      <w:r>
        <w:t>6 End-to-End Data Reliability</w:t>
      </w:r>
    </w:p>
    <w:p>
      <w:pPr>
        <w:keepNext/>
        <w:jc w:val="center"/>
      </w:pPr>
      <w:r>
        <w:drawing>
          <wp:inline xmlns:a="http://schemas.openxmlformats.org/drawingml/2006/main" xmlns:pic="http://schemas.openxmlformats.org/drawingml/2006/picture">
            <wp:extent cx="5806440" cy="3225800"/>
            <wp:docPr id="3" name="Picture 3" descr="Partition processing and checkpoint-after-commit protocol."/>
            <wp:cNvGraphicFramePr>
              <a:graphicFrameLocks noChangeAspect="1"/>
            </wp:cNvGraphicFramePr>
            <a:graphic>
              <a:graphicData uri="http://schemas.openxmlformats.org/drawingml/2006/picture">
                <pic:pic>
                  <pic:nvPicPr>
                    <pic:cNvPr id="0" name="commit_protocol.png"/>
                    <pic:cNvPicPr/>
                  </pic:nvPicPr>
                  <pic:blipFill>
                    <a:blip r:embed="rId13"/>
                    <a:stretch>
                      <a:fillRect/>
                    </a:stretch>
                  </pic:blipFill>
                  <pic:spPr>
                    <a:xfrm>
                      <a:off x="0" y="0"/>
                      <a:ext cx="5806440" cy="3225800"/>
                    </a:xfrm>
                    <a:prstGeom prst="rect"/>
                  </pic:spPr>
                </pic:pic>
              </a:graphicData>
            </a:graphic>
          </wp:inline>
        </w:drawing>
      </w:r>
    </w:p>
    <w:p>
      <w:pPr>
        <w:pStyle w:val="Caption"/>
      </w:pPr>
      <w:r>
        <w:rPr>
          <w:rFonts w:ascii="Calibri" w:hAnsi="Calibri"/>
          <w:b/>
          <w:color w:val="173A5E"/>
          <w:sz w:val="18"/>
        </w:rPr>
        <w:t xml:space="preserve">Figure 3. </w:t>
      </w:r>
      <w:r>
        <w:rPr>
          <w:rFonts w:ascii="Calibri" w:hAnsi="Calibri"/>
          <w:i/>
          <w:color w:val="66717C"/>
          <w:sz w:val="18"/>
        </w:rPr>
        <w:t>Partition processing and checkpoint-after-commit protocol.</w:t>
      </w:r>
    </w:p>
    <w:p>
      <w:pPr>
        <w:pStyle w:val="Heading2"/>
      </w:pPr>
      <w:r>
        <w:t>6.1 Reliability claim</w:t>
      </w:r>
    </w:p>
    <w:p>
      <w:pPr>
        <w:widowControl/>
      </w:pPr>
      <w:r>
        <w:rPr>
          <w:rFonts w:ascii="Calibri" w:hAnsi="Calibri"/>
          <w:color w:val="17212B"/>
          <w:sz w:val="22"/>
        </w:rPr>
        <w:t>The MVP guarantees that destination histories stay within the activated contract when provider prerequisites hold. It does not claim each internal action executes exactly once. Acquisition may repeat; destination application is idempotent; checkpoints advance only after durable commit evidence. Unknown commit state blocks progress until resolved.</w:t>
      </w:r>
    </w:p>
    <w:p>
      <w:pPr>
        <w:pStyle w:val="Heading2"/>
      </w:pPr>
      <w:r>
        <w:t>6.2 Partition commit protocol</w:t>
      </w:r>
    </w:p>
    <w:p>
      <w:pPr>
        <w:numPr>
          <w:ilvl w:val="0"/>
          <w:numId w:val="13"/>
        </w:numPr>
        <w:spacing w:after="100" w:line="264" w:lineRule="auto"/>
        <w:ind w:left="540" w:hanging="270"/>
      </w:pPr>
      <w:r>
        <w:rPr>
          <w:rFonts w:ascii="Calibri" w:hAnsi="Calibri"/>
          <w:color w:val="17212B"/>
          <w:sz w:val="22"/>
        </w:rPr>
        <w:t>Acquire a lease bound to contract, partition, and epoch.</w:t>
      </w:r>
    </w:p>
    <w:p>
      <w:pPr>
        <w:numPr>
          <w:ilvl w:val="0"/>
          <w:numId w:val="13"/>
        </w:numPr>
        <w:spacing w:after="100" w:line="264" w:lineRule="auto"/>
        <w:ind w:left="540" w:hanging="270"/>
      </w:pPr>
      <w:r>
        <w:rPr>
          <w:rFonts w:ascii="Calibri" w:hAnsi="Calibri"/>
          <w:color w:val="17212B"/>
          <w:sz w:val="22"/>
        </w:rPr>
        <w:t>Read the declared bounded input and compute a content manifest.</w:t>
      </w:r>
    </w:p>
    <w:p>
      <w:pPr>
        <w:numPr>
          <w:ilvl w:val="0"/>
          <w:numId w:val="13"/>
        </w:numPr>
        <w:spacing w:after="100" w:line="264" w:lineRule="auto"/>
        <w:ind w:left="540" w:hanging="270"/>
      </w:pPr>
      <w:r>
        <w:rPr>
          <w:rFonts w:ascii="Calibri" w:hAnsi="Calibri"/>
          <w:color w:val="17212B"/>
          <w:sz w:val="22"/>
        </w:rPr>
        <w:t>Apply deterministic transformations and write immutable stage objects under a stable batch identity.</w:t>
      </w:r>
    </w:p>
    <w:p>
      <w:pPr>
        <w:numPr>
          <w:ilvl w:val="0"/>
          <w:numId w:val="13"/>
        </w:numPr>
        <w:spacing w:after="100" w:line="264" w:lineRule="auto"/>
        <w:ind w:left="540" w:hanging="270"/>
      </w:pPr>
      <w:r>
        <w:rPr>
          <w:rFonts w:ascii="Calibri" w:hAnsi="Calibri"/>
          <w:color w:val="17212B"/>
          <w:sz w:val="22"/>
        </w:rPr>
        <w:t>Validate stage count, schema, keys, checksums, and deletion manifest.</w:t>
      </w:r>
    </w:p>
    <w:p>
      <w:pPr>
        <w:numPr>
          <w:ilvl w:val="0"/>
          <w:numId w:val="13"/>
        </w:numPr>
        <w:spacing w:after="100" w:line="264" w:lineRule="auto"/>
        <w:ind w:left="540" w:hanging="270"/>
      </w:pPr>
      <w:r>
        <w:rPr>
          <w:rFonts w:ascii="Calibri" w:hAnsi="Calibri"/>
          <w:color w:val="17212B"/>
          <w:sz w:val="22"/>
        </w:rPr>
        <w:t>Invoke an idempotent Snowflake merge or generation switch using the batch identity.</w:t>
      </w:r>
    </w:p>
    <w:p>
      <w:pPr>
        <w:numPr>
          <w:ilvl w:val="0"/>
          <w:numId w:val="13"/>
        </w:numPr>
        <w:spacing w:after="100" w:line="264" w:lineRule="auto"/>
        <w:ind w:left="540" w:hanging="270"/>
      </w:pPr>
      <w:r>
        <w:rPr>
          <w:rFonts w:ascii="Calibri" w:hAnsi="Calibri"/>
          <w:color w:val="17212B"/>
          <w:sz w:val="22"/>
        </w:rPr>
        <w:t>Persist the destination receipt and reconciliation result.</w:t>
      </w:r>
    </w:p>
    <w:p>
      <w:pPr>
        <w:numPr>
          <w:ilvl w:val="0"/>
          <w:numId w:val="13"/>
        </w:numPr>
        <w:spacing w:after="100" w:line="264" w:lineRule="auto"/>
        <w:ind w:left="540" w:hanging="270"/>
      </w:pPr>
      <w:r>
        <w:rPr>
          <w:rFonts w:ascii="Calibri" w:hAnsi="Calibri"/>
          <w:color w:val="17212B"/>
          <w:sz w:val="22"/>
        </w:rPr>
        <w:t>Conditionally advance the checkpoint if the lease and epoch remain current.</w:t>
      </w:r>
    </w:p>
    <w:p>
      <w:pPr>
        <w:numPr>
          <w:ilvl w:val="0"/>
          <w:numId w:val="13"/>
        </w:numPr>
        <w:spacing w:after="100" w:line="264" w:lineRule="auto"/>
        <w:ind w:left="540" w:hanging="270"/>
      </w:pPr>
      <w:r>
        <w:rPr>
          <w:rFonts w:ascii="Calibri" w:hAnsi="Calibri"/>
          <w:color w:val="17212B"/>
          <w:sz w:val="22"/>
        </w:rPr>
        <w:t>Emit completion evidence and release the lease.</w:t>
      </w:r>
    </w:p>
    <w:p>
      <w:pPr>
        <w:pStyle w:val="Heading2"/>
      </w:pPr>
      <w:r>
        <w:t>6.3 Snapshot-to-CDC handoff</w:t>
      </w:r>
    </w:p>
    <w:p>
      <w:pPr>
        <w:numPr>
          <w:ilvl w:val="0"/>
          <w:numId w:val="14"/>
        </w:numPr>
        <w:spacing w:after="100" w:line="264" w:lineRule="auto"/>
        <w:ind w:left="540" w:hanging="270"/>
      </w:pPr>
      <w:r>
        <w:rPr>
          <w:rFonts w:ascii="Calibri" w:hAnsi="Calibri"/>
          <w:color w:val="17212B"/>
          <w:sz w:val="22"/>
        </w:rPr>
        <w:t>Establish a consistent PostgreSQL snapshot and corresponding retained-log position.</w:t>
      </w:r>
    </w:p>
    <w:p>
      <w:pPr>
        <w:numPr>
          <w:ilvl w:val="0"/>
          <w:numId w:val="14"/>
        </w:numPr>
        <w:spacing w:after="100" w:line="264" w:lineRule="auto"/>
        <w:ind w:left="540" w:hanging="270"/>
      </w:pPr>
      <w:r>
        <w:rPr>
          <w:rFonts w:ascii="Calibri" w:hAnsi="Calibri"/>
          <w:color w:val="17212B"/>
          <w:sz w:val="22"/>
        </w:rPr>
        <w:t>Read snapshot ranges in parallel while retaining changes after the cut position.</w:t>
      </w:r>
    </w:p>
    <w:p>
      <w:pPr>
        <w:numPr>
          <w:ilvl w:val="0"/>
          <w:numId w:val="14"/>
        </w:numPr>
        <w:spacing w:after="100" w:line="264" w:lineRule="auto"/>
        <w:ind w:left="540" w:hanging="270"/>
      </w:pPr>
      <w:r>
        <w:rPr>
          <w:rFonts w:ascii="Calibri" w:hAnsi="Calibri"/>
          <w:color w:val="17212B"/>
          <w:sz w:val="22"/>
        </w:rPr>
        <w:t>Commit and reconcile the snapshot generation.</w:t>
      </w:r>
    </w:p>
    <w:p>
      <w:pPr>
        <w:numPr>
          <w:ilvl w:val="0"/>
          <w:numId w:val="14"/>
        </w:numPr>
        <w:spacing w:after="100" w:line="264" w:lineRule="auto"/>
        <w:ind w:left="540" w:hanging="270"/>
      </w:pPr>
      <w:r>
        <w:rPr>
          <w:rFonts w:ascii="Calibri" w:hAnsi="Calibri"/>
          <w:color w:val="17212B"/>
          <w:sz w:val="22"/>
        </w:rPr>
        <w:t>Replay retained changes from the exact cut position.</w:t>
      </w:r>
    </w:p>
    <w:p>
      <w:pPr>
        <w:numPr>
          <w:ilvl w:val="0"/>
          <w:numId w:val="14"/>
        </w:numPr>
        <w:spacing w:after="100" w:line="264" w:lineRule="auto"/>
        <w:ind w:left="540" w:hanging="270"/>
      </w:pPr>
      <w:r>
        <w:rPr>
          <w:rFonts w:ascii="Calibri" w:hAnsi="Calibri"/>
          <w:color w:val="17212B"/>
          <w:sz w:val="22"/>
        </w:rPr>
        <w:t>Enter steady-state CDC only when the compiler/runtime proves there is no uncovered interval.</w:t>
      </w:r>
    </w:p>
    <w:p>
      <w:pPr>
        <w:pStyle w:val="Heading2"/>
      </w:pPr>
      <w:r>
        <w:t>6.4 Failure responses</w:t>
      </w:r>
    </w:p>
    <w:p>
      <w:pPr>
        <w:pStyle w:val="Caption"/>
        <w:keepNext/>
      </w:pPr>
      <w:r>
        <w:rPr>
          <w:rFonts w:ascii="Calibri" w:hAnsi="Calibri"/>
          <w:b/>
          <w:color w:val="173A5E"/>
          <w:sz w:val="18"/>
        </w:rPr>
        <w:t xml:space="preserve">Table 9. </w:t>
      </w:r>
      <w:r>
        <w:rPr>
          <w:rFonts w:ascii="Calibri" w:hAnsi="Calibri"/>
          <w:i/>
          <w:color w:val="66717C"/>
          <w:sz w:val="18"/>
        </w:rPr>
        <w:t>Failure and required response</w:t>
      </w:r>
    </w:p>
    <w:tbl>
      <w:tblPr>
        <w:tblStyle w:val="TableGrid"/>
        <w:tblW w:type="dxa" w:w="9360"/>
        <w:jc w:val="left"/>
        <w:tblLayout w:type="fixed"/>
        <w:tblLook w:firstColumn="1" w:firstRow="1" w:lastColumn="0" w:lastRow="0" w:noHBand="0" w:noVBand="1" w:val="04A0"/>
        <w:tblInd w:type="dxa" w:w="120"/>
      </w:tblPr>
      <w:tblGrid>
        <w:gridCol w:w="2432"/>
        <w:gridCol w:w="4643"/>
        <w:gridCol w:w="2285"/>
      </w:tblGrid>
      <w:tr>
        <w:trPr>
          <w:tblHeader w:val="true"/>
          <w:cantSplit/>
        </w:trPr>
        <w:tc>
          <w:tcPr>
            <w:tcW w:type="dxa" w:w="243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Failure</w:t>
            </w:r>
          </w:p>
        </w:tc>
        <w:tc>
          <w:tcPr>
            <w:tcW w:type="dxa" w:w="464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Required response</w:t>
            </w:r>
          </w:p>
        </w:tc>
        <w:tc>
          <w:tcPr>
            <w:tcW w:type="dxa" w:w="228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Forbidden response</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Worker loss</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Expire lease; replay from last durable checkpoint</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Advance progress from worker memory</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Duplicate input/page</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Deduplicate by source identity and batch manifest</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Assume provider pagination is unique</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Ambiguous Snowflake commit</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Query by batch identity; resolve committed/not committed/Unknown</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Blindly repeat and report success</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Schema incompatibility</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Pause affected partition; recompile and require approval when material</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Implicit coercion</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Source throttle</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Backpressure; honor reset evidence; preserve freshness violation</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Unbounded retry concurrency</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Checkpoint-store partition</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Finish only bounded work; do not commit without valid fence</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Create a second owner</w:t>
            </w:r>
          </w:p>
        </w:tc>
      </w:tr>
      <w:tr>
        <w:trPr>
          <w:cantSplit/>
        </w:trPr>
        <w:tc>
          <w:tcPr>
            <w:tcW w:type="dxa" w:w="24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Reconciliation mismatch</w:t>
            </w:r>
          </w:p>
        </w:tc>
        <w:tc>
          <w:tcPr>
            <w:tcW w:type="dxa" w:w="464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Quarantine generation and retain prior visible state</w:t>
            </w:r>
          </w:p>
        </w:tc>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Publish and repair later silently</w:t>
            </w:r>
          </w:p>
        </w:tc>
      </w:tr>
    </w:tbl>
    <w:p>
      <w:pPr>
        <w:spacing w:after="20"/>
      </w:pPr>
    </w:p>
    <w:p>
      <w:pPr>
        <w:pStyle w:val="Heading2"/>
      </w:pPr>
      <w:r>
        <w:t>6.5 Reconciliation</w:t>
      </w:r>
    </w:p>
    <w:p>
      <w:pPr>
        <w:widowControl/>
      </w:pPr>
      <w:r>
        <w:rPr>
          <w:rFonts w:ascii="Calibri" w:hAnsi="Calibri"/>
          <w:color w:val="17212B"/>
          <w:sz w:val="22"/>
        </w:rPr>
        <w:t>Every snapshot partition records source count, manifest count, unique-key count, destination applied count, deletion count, and content hash where the provider can supply stable values. CDC records source positions, event identities, applied counts, duplicate intervals, and watermark. Sampling can supplement but never replace exact key and commit checks required by the contract.</w:t>
      </w:r>
    </w:p>
    <w:p>
      <w:pPr>
        <w:widowControl/>
      </w:pPr>
      <w:r>
        <w:rPr>
          <w:rFonts w:ascii="Calibri" w:hAnsi="Calibri"/>
          <w:color w:val="17212B"/>
          <w:sz w:val="22"/>
        </w:rPr>
        <w:t>Reconciliation evaluates only records within the contract's declared reconciliation scope (§15.1). The scope, excluded reason classes, and observed counts are versioned contract fields. Every result reports eligible, in-scope, and excluded counts by class, plus resulting coverage.</w:t>
      </w:r>
    </w:p>
    <w:p>
      <w:pPr>
        <w:pStyle w:val="Heading2"/>
      </w:pPr>
      <w:r>
        <w:t>6.6 Revenue lifecycle invariants</w:t>
      </w:r>
    </w:p>
    <w:p>
      <w:pPr>
        <w:pStyle w:val="Caption"/>
        <w:keepNext/>
      </w:pPr>
      <w:r>
        <w:rPr>
          <w:rFonts w:ascii="Calibri" w:hAnsi="Calibri"/>
          <w:b/>
          <w:color w:val="173A5E"/>
          <w:sz w:val="18"/>
        </w:rPr>
        <w:t xml:space="preserve">Table 10. </w:t>
      </w:r>
      <w:r>
        <w:rPr>
          <w:rFonts w:ascii="Calibri" w:hAnsi="Calibri"/>
          <w:i/>
          <w:color w:val="66717C"/>
          <w:sz w:val="18"/>
        </w:rPr>
        <w:t>Revenue-to-Cash reconciliation</w:t>
      </w:r>
    </w:p>
    <w:tbl>
      <w:tblPr>
        <w:tblStyle w:val="TableGrid"/>
        <w:tblW w:type="dxa" w:w="9360"/>
        <w:jc w:val="left"/>
        <w:tblLayout w:type="fixed"/>
        <w:tblLook w:firstColumn="1" w:firstRow="1" w:lastColumn="0" w:lastRow="0" w:noHBand="0" w:noVBand="1" w:val="04A0"/>
        <w:tblInd w:type="dxa" w:w="120"/>
      </w:tblPr>
      <w:tblGrid>
        <w:gridCol w:w="2285"/>
        <w:gridCol w:w="4938"/>
        <w:gridCol w:w="2137"/>
      </w:tblGrid>
      <w:tr>
        <w:trPr>
          <w:tblHeader w:val="true"/>
          <w:cantSplit/>
        </w:trPr>
        <w:tc>
          <w:tcPr>
            <w:tcW w:type="dxa" w:w="228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Invariant</w:t>
            </w:r>
          </w:p>
        </w:tc>
        <w:tc>
          <w:tcPr>
            <w:tcW w:type="dxa" w:w="493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Deterministic evaluation</w:t>
            </w:r>
          </w:p>
        </w:tc>
        <w:tc>
          <w:tcPr>
            <w:tcW w:type="dxa" w:w="213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Failure disposition</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Scope admission</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Apply lifecycle predicates only to records admitted by the declared reconciliation scope</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Report exclusions by named class; never classify them as lifecycle violations</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Closed-won opportunity produces an order</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Join on the contract-authorized key; require order by the partner-specific business-transition deadline</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Open within detection deadline; route to contract-named sales-operations owner</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Paid order produces an active subscription</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Match settled payment and order key to active subscription by partner-specific business-transition deadline</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Open within detection deadline; route to contract-named finance/revenue-operations owner</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Opportunity and order amounts agree</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Compare normalized currency and declared tolerance using version-pinned dbt output</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Open amount exception; do not rewrite source values</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Invoice and payment reconcile</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Invoice gross equals captured minus refund under declared status and currency rules</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Open finance exception with model and source lineage</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Deletion/cancellation propagates</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Evaluate the activated source-specific delete or terminal-state rule</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Block Conforming if required evidence or propagation is absent</w:t>
            </w:r>
          </w:p>
        </w:tc>
      </w:tr>
      <w:tr>
        <w:trPr>
          <w:cantSplit/>
        </w:trPr>
        <w:tc>
          <w:tcPr>
            <w:tcW w:type="dxa" w:w="228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Every exception is reproducible</w:t>
            </w:r>
          </w:p>
        </w:tc>
        <w:tc>
          <w:tcPr>
            <w:tcW w:type="dxa" w:w="493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Bind source generations, dbt digest, model output, rule version, evaluation time, and deadline</w:t>
            </w:r>
          </w:p>
        </w:tc>
        <w:tc>
          <w:tcPr>
            <w:tcW w:type="dxa" w:w="213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Unknown evidence yields Unknown, never a cleared exception</w:t>
            </w:r>
          </w:p>
        </w:tc>
      </w:tr>
    </w:tbl>
    <w:p>
      <w:pPr>
        <w:spacing w:after="20"/>
      </w:pPr>
    </w:p>
    <w:p>
      <w:pPr>
        <w:pStyle w:val="Heading2"/>
      </w:pPr>
      <w:r>
        <w:t>6.7 Deadline calibration</w:t>
      </w:r>
    </w:p>
    <w:p>
      <w:pPr>
        <w:widowControl/>
      </w:pPr>
      <w:r>
        <w:rPr>
          <w:rFonts w:ascii="Calibri" w:hAnsi="Calibri"/>
          <w:color w:val="17212B"/>
          <w:sz w:val="22"/>
        </w:rPr>
        <w:t>Before activation, a read-only shadow period measures eligible opportunity→order and payment→subscription latency distributions over at least one representative business cycle. Finance and sales owners approve each business-transition deadline using the observed distribution, contractual process obligation, sample size, exclusions, and confidence; the platform-detection deadline is specified separately. The compiler records both clocks and the baseline digest. It never mechanically converts an observed percentile into an obligation or treats a slow business process as platform lateness.</w:t>
      </w:r>
    </w:p>
    <w:p>
      <w:pPr>
        <w:widowControl/>
      </w:pPr>
      <w:r>
        <w:rPr>
          <w:rFonts w:ascii="Calibri" w:hAnsi="Calibri"/>
          <w:color w:val="17212B"/>
          <w:sz w:val="22"/>
        </w:rPr>
        <w:t>Each exception class also declares an accountable business owner, acknowledgement SLA, disposition SLA, allowed dispositions, and escalation path. The shadow baseline supplies the expected steady-state opening rate and confidence interval. Undispositioned items remain open, escalate at SLA expiry, and continue to count against cohort usefulness; they are never auto-cleared by age or a later successful batch.</w:t>
      </w:r>
    </w:p>
    <w:p>
      <w:pPr>
        <w:widowControl/>
      </w:pPr>
      <w:r>
        <w:rPr>
          <w:rFonts w:ascii="Calibri" w:hAnsi="Calibri"/>
          <w:color w:val="17212B"/>
          <w:sz w:val="22"/>
        </w:rPr>
        <w:t>Partner acknowledgement and disposition measure business-process capacity, not platform conformance. Undispositioned exceptions remain visible, open, and escalating, but do not count as platform failures.</w:t>
      </w:r>
    </w:p>
    <w:p>
      <w:pPr>
        <w:pStyle w:val="Heading1"/>
      </w:pPr>
      <w:r>
        <w:t>7 Capability Provider Kit</w:t>
      </w:r>
    </w:p>
    <w:p>
      <w:pPr>
        <w:pStyle w:val="Heading2"/>
      </w:pPr>
      <w:r>
        <w:t>7.1 Provider boundary</w:t>
      </w:r>
    </w:p>
    <w:p>
      <w:pPr>
        <w:widowControl/>
      </w:pPr>
      <w:r>
        <w:rPr>
          <w:rFonts w:ascii="Calibri" w:hAnsi="Calibri"/>
          <w:color w:val="17212B"/>
          <w:sz w:val="22"/>
        </w:rPr>
        <w:t>PostgreSQL, Salesforce, and Snowflake must be implemented through the same provider kit that future teams use. The dbt adapter uses a separate external-compute capability because it observes and invokes an existing transformation authority rather than acquiring or writing source data. No provider or adapter creates a private scheduler, retry loop, secret store, or state machine. The platform supplies leases, checkpoints, grants, evidence, backpressure, and fault injection.</w:t>
      </w:r>
    </w:p>
    <w:p>
      <w:pPr>
        <w:pStyle w:val="Caption"/>
        <w:keepNext/>
      </w:pPr>
      <w:r>
        <w:rPr>
          <w:rFonts w:ascii="Calibri" w:hAnsi="Calibri"/>
          <w:b/>
          <w:color w:val="173A5E"/>
          <w:sz w:val="18"/>
        </w:rPr>
        <w:t xml:space="preserve">Table 11. </w:t>
      </w:r>
      <w:r>
        <w:rPr>
          <w:rFonts w:ascii="Calibri" w:hAnsi="Calibri"/>
          <w:i/>
          <w:color w:val="66717C"/>
          <w:sz w:val="18"/>
        </w:rPr>
        <w:t>Provider modules</w:t>
      </w:r>
    </w:p>
    <w:tbl>
      <w:tblPr>
        <w:tblStyle w:val="TableGrid"/>
        <w:tblW w:type="dxa" w:w="9360"/>
        <w:jc w:val="left"/>
        <w:tblLayout w:type="fixed"/>
        <w:tblLook w:firstColumn="1" w:firstRow="1" w:lastColumn="0" w:lastRow="0" w:noHBand="0" w:noVBand="1" w:val="04A0"/>
        <w:tblInd w:type="dxa" w:w="120"/>
      </w:tblPr>
      <w:tblGrid>
        <w:gridCol w:w="2229"/>
        <w:gridCol w:w="4309"/>
        <w:gridCol w:w="2822"/>
      </w:tblGrid>
      <w:tr>
        <w:trPr>
          <w:tblHeader w:val="true"/>
          <w:cantSplit/>
        </w:trPr>
        <w:tc>
          <w:tcPr>
            <w:tcW w:type="dxa" w:w="222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Module</w:t>
            </w:r>
          </w:p>
        </w:tc>
        <w:tc>
          <w:tcPr>
            <w:tcW w:type="dxa" w:w="430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Responsibility</w:t>
            </w:r>
          </w:p>
        </w:tc>
        <w:tc>
          <w:tcPr>
            <w:tcW w:type="dxa" w:w="282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MVP evidence</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Discovery</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Endpoint test, namespace/object listing, schema observation</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Permission-filtered fixtures and pagination tests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Authentication adapter</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Required auth modes and scope validation</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Expiry, revocation, rotation, and denied-scope tests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Snapshot reader</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Bounded, restartable extraction</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Repeatability, range completeness, checksum fixtures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Incremental reader</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CDC or cursor position and delete behavior</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Restart, overlap, late event, and retention tests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Writer</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Stage, validate, idempotent merge, commit resolution</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Duplicate batch and ambiguous-commit tests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Error classifier</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Retryable, throttled, auth, permanent, ambiguous</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Mutation tests for every classification branch</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Capability declaration</w:t>
            </w:r>
          </w:p>
        </w:tc>
        <w:tc>
          <w:tcPr>
            <w:tcW w:type="dxa" w:w="430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Semantics, limits, placement, evidence validity</w:t>
            </w:r>
          </w:p>
        </w:tc>
        <w:tc>
          <w:tcPr>
            <w:tcW w:type="dxa" w:w="282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Conformance tier and version-pair regression</w:t>
            </w:r>
          </w:p>
        </w:tc>
      </w:tr>
    </w:tbl>
    <w:p>
      <w:pPr>
        <w:spacing w:after="20"/>
      </w:pPr>
    </w:p>
    <w:p>
      <w:pPr>
        <w:pStyle w:val="Heading2"/>
      </w:pPr>
      <w:r>
        <w:t>7.2 Developer experience</w:t>
      </w:r>
    </w:p>
    <w:p>
      <w:pPr>
        <w:numPr>
          <w:ilvl w:val="0"/>
          <w:numId w:val="10"/>
        </w:numPr>
        <w:spacing w:after="100" w:line="264" w:lineRule="auto"/>
        <w:ind w:left="540" w:hanging="270"/>
      </w:pPr>
      <w:r>
        <w:rPr>
          <w:rFonts w:ascii="Calibri" w:hAnsi="Calibri"/>
          <w:color w:val="17212B"/>
          <w:sz w:val="22"/>
        </w:rPr>
        <w:t>A local harness runs providers against deterministic source and destination fixtures.</w:t>
      </w:r>
    </w:p>
    <w:p>
      <w:pPr>
        <w:numPr>
          <w:ilvl w:val="0"/>
          <w:numId w:val="10"/>
        </w:numPr>
        <w:spacing w:after="100" w:line="264" w:lineRule="auto"/>
        <w:ind w:left="540" w:hanging="270"/>
      </w:pPr>
      <w:r>
        <w:rPr>
          <w:rFonts w:ascii="Calibri" w:hAnsi="Calibri"/>
          <w:color w:val="17212B"/>
          <w:sz w:val="22"/>
        </w:rPr>
        <w:t>A recorder captures sanitized provider interactions and creates replay fixtures without secrets.</w:t>
      </w:r>
    </w:p>
    <w:p>
      <w:pPr>
        <w:numPr>
          <w:ilvl w:val="0"/>
          <w:numId w:val="10"/>
        </w:numPr>
        <w:spacing w:after="100" w:line="264" w:lineRule="auto"/>
        <w:ind w:left="540" w:hanging="270"/>
      </w:pPr>
      <w:r>
        <w:rPr>
          <w:rFonts w:ascii="Calibri" w:hAnsi="Calibri"/>
          <w:color w:val="17212B"/>
          <w:sz w:val="22"/>
        </w:rPr>
        <w:t>A fault proxy injects timeouts, truncation, duplicate pages, throttling, token expiry, and ambiguous responses.</w:t>
      </w:r>
    </w:p>
    <w:p>
      <w:pPr>
        <w:numPr>
          <w:ilvl w:val="0"/>
          <w:numId w:val="10"/>
        </w:numPr>
        <w:spacing w:after="100" w:line="264" w:lineRule="auto"/>
        <w:ind w:left="540" w:hanging="270"/>
      </w:pPr>
      <w:r>
        <w:rPr>
          <w:rFonts w:ascii="Calibri" w:hAnsi="Calibri"/>
          <w:color w:val="17212B"/>
          <w:sz w:val="22"/>
        </w:rPr>
        <w:t>The provider owns no deployment manifest for customer clusters; certified artifacts are signed and released through the managed runtime.</w:t>
      </w:r>
    </w:p>
    <w:p>
      <w:pPr>
        <w:numPr>
          <w:ilvl w:val="0"/>
          <w:numId w:val="10"/>
        </w:numPr>
        <w:spacing w:after="100" w:line="264" w:lineRule="auto"/>
        <w:ind w:left="540" w:hanging="270"/>
      </w:pPr>
      <w:r>
        <w:rPr>
          <w:rFonts w:ascii="Calibri" w:hAnsi="Calibri"/>
          <w:color w:val="17212B"/>
          <w:sz w:val="22"/>
        </w:rPr>
        <w:t>The conformance report identifies passed claims, Unknown semantics, allowed risk tier, and planner eligibility.</w:t>
      </w:r>
    </w:p>
    <w:p>
      <w:pPr>
        <w:pStyle w:val="Heading2"/>
      </w:pPr>
      <w:r>
        <w:t>7.3 Delivery targets</w:t>
      </w:r>
    </w:p>
    <w:p>
      <w:pPr>
        <w:widowControl/>
      </w:pPr>
      <w:r>
        <w:rPr>
          <w:rFonts w:ascii="Calibri" w:hAnsi="Calibri"/>
          <w:color w:val="17212B"/>
          <w:sz w:val="22"/>
        </w:rPr>
        <w:t>A provider for an already understood REST acquisition family should reach first local records within five engineering days and Provisional status within one to two provider-engineer months. Certified status for a materially new semantic family is planned at four to eight provider-engineer months plus independent review. Salesforce is expected at the upper end because certification must cover Bulk API 2.0 query partitioning where supported, formula and compound fields, field-level security, `queryAll`/`IsDeleted` behavior and retention, cursor-field semantics, quotas, and sandbox-to-production metadata drift. Its measured effort is the primary test of the conformance-cost assumption.</w:t>
      </w:r>
    </w:p>
    <w:p>
      <w:pPr>
        <w:pStyle w:val="Heading2"/>
      </w:pPr>
      <w:r>
        <w:t>7.4 dbt integration boundary</w:t>
      </w:r>
    </w:p>
    <w:p>
      <w:pPr>
        <w:widowControl/>
      </w:pPr>
      <w:r>
        <w:rPr>
          <w:rFonts w:ascii="Calibri" w:hAnsi="Calibri"/>
          <w:color w:val="17212B"/>
          <w:sz w:val="22"/>
        </w:rPr>
        <w:t>The partner owns the version-controlled dbt project, execution environment, credentials, finance semantics, and named model owner. The platform holds narrowly scoped authority to trigger a dedicated pilot job in that environment; it does not rely on the partner's general scheduler to satisfy a product generation. Each invocation pins the project revision, selected model graph, target namespace, and generation-specific Snowflake source relations. The adapter compares the relations and generation identities actually consumed, manifest, run results, required tests, and produced namespace with the pinned set. A concurrent partner run publishes elsewhere and cannot satisfy the receipt. Any mismatch makes the candidate generation Unknown while the last Conforming generation remains visible. The compiler may explain or propose a change, but never generates, approves, or silently modifies finance SQL.</w:t>
      </w:r>
    </w:p>
    <w:p>
      <w:pPr>
        <w:pStyle w:val="Heading1"/>
      </w:pPr>
      <w:r>
        <w:t>8 API and OAuth Connectivity</w:t>
      </w:r>
    </w:p>
    <w:p>
      <w:pPr>
        <w:pStyle w:val="Heading2"/>
      </w:pPr>
      <w:r>
        <w:t>8.1 Authentication coverage</w:t>
      </w:r>
    </w:p>
    <w:p>
      <w:pPr>
        <w:pStyle w:val="Caption"/>
        <w:keepNext/>
      </w:pPr>
      <w:r>
        <w:rPr>
          <w:rFonts w:ascii="Calibri" w:hAnsi="Calibri"/>
          <w:b/>
          <w:color w:val="173A5E"/>
          <w:sz w:val="18"/>
        </w:rPr>
        <w:t xml:space="preserve">Table 12. </w:t>
      </w:r>
      <w:r>
        <w:rPr>
          <w:rFonts w:ascii="Calibri" w:hAnsi="Calibri"/>
          <w:i/>
          <w:color w:val="66717C"/>
          <w:sz w:val="18"/>
        </w:rPr>
        <w:t>MVP authentication modes</w:t>
      </w:r>
    </w:p>
    <w:tbl>
      <w:tblPr>
        <w:tblStyle w:val="TableGrid"/>
        <w:tblW w:type="dxa" w:w="9360"/>
        <w:jc w:val="left"/>
        <w:tblLayout w:type="fixed"/>
        <w:tblLook w:firstColumn="1" w:firstRow="1" w:lastColumn="0" w:lastRow="0" w:noHBand="0" w:noVBand="1" w:val="04A0"/>
        <w:tblInd w:type="dxa" w:w="120"/>
      </w:tblPr>
      <w:tblGrid>
        <w:gridCol w:w="2674"/>
        <w:gridCol w:w="3491"/>
        <w:gridCol w:w="3195"/>
      </w:tblGrid>
      <w:tr>
        <w:trPr>
          <w:tblHeader w:val="true"/>
          <w:cantSplit/>
        </w:trPr>
        <w:tc>
          <w:tcPr>
            <w:tcW w:type="dxa" w:w="267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Mode</w:t>
            </w:r>
          </w:p>
        </w:tc>
        <w:tc>
          <w:tcPr>
            <w:tcW w:type="dxa" w:w="34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MVP use</w:t>
            </w:r>
          </w:p>
        </w:tc>
        <w:tc>
          <w:tcPr>
            <w:tcW w:type="dxa" w:w="3195"/>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Required controls</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OAuth authorization code plus PKCE</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Salesforce delegated connection</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State/nonce validation, bounded attempt, exact redirect, scope display</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OAuth refresh rotation</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Long-running SaaS acquisition</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Atomic token replacement, replay detection, expiry alert</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OAuth client credentials</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Service-owned APIs where supported</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Audience and scope pinning; no user impersonation</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Database secret</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PostgreSQL</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Secure entry, encryption, rotation, least-privilege test</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Key pair</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Snowflake</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Encrypted private key, fingerprint display, rotation overlap</w:t>
            </w:r>
          </w:p>
        </w:tc>
      </w:tr>
      <w:tr>
        <w:trPr>
          <w:cantSplit/>
        </w:trPr>
        <w:tc>
          <w:tcPr>
            <w:tcW w:type="dxa" w:w="267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API key</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Provisional future REST provider</w:t>
            </w:r>
          </w:p>
        </w:tc>
        <w:tc>
          <w:tcPr>
            <w:tcW w:type="dxa" w:w="3195"/>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Header/query placement declared; redaction and rotation</w:t>
            </w:r>
          </w:p>
        </w:tc>
      </w:tr>
    </w:tbl>
    <w:p>
      <w:pPr>
        <w:spacing w:after="20"/>
      </w:pPr>
    </w:p>
    <w:p>
      <w:pPr>
        <w:pStyle w:val="Heading2"/>
      </w:pPr>
      <w:r>
        <w:t>8.2 OAuth sequence</w:t>
      </w:r>
    </w:p>
    <w:p>
      <w:pPr>
        <w:keepNext/>
        <w:jc w:val="center"/>
      </w:pPr>
      <w:r>
        <w:drawing>
          <wp:inline xmlns:a="http://schemas.openxmlformats.org/drawingml/2006/main" xmlns:pic="http://schemas.openxmlformats.org/drawingml/2006/picture">
            <wp:extent cx="5806440" cy="3225800"/>
            <wp:docPr id="4" name="Picture 4" descr="OAuth authorization remains outside the desktop model and MCP transcript."/>
            <wp:cNvGraphicFramePr>
              <a:graphicFrameLocks noChangeAspect="1"/>
            </wp:cNvGraphicFramePr>
            <a:graphic>
              <a:graphicData uri="http://schemas.openxmlformats.org/drawingml/2006/picture">
                <pic:pic>
                  <pic:nvPicPr>
                    <pic:cNvPr id="0" name="oauth_sequence.png"/>
                    <pic:cNvPicPr/>
                  </pic:nvPicPr>
                  <pic:blipFill>
                    <a:blip r:embed="rId14"/>
                    <a:stretch>
                      <a:fillRect/>
                    </a:stretch>
                  </pic:blipFill>
                  <pic:spPr>
                    <a:xfrm>
                      <a:off x="0" y="0"/>
                      <a:ext cx="5806440" cy="3225800"/>
                    </a:xfrm>
                    <a:prstGeom prst="rect"/>
                  </pic:spPr>
                </pic:pic>
              </a:graphicData>
            </a:graphic>
          </wp:inline>
        </w:drawing>
      </w:r>
    </w:p>
    <w:p>
      <w:pPr>
        <w:pStyle w:val="Caption"/>
      </w:pPr>
      <w:r>
        <w:rPr>
          <w:rFonts w:ascii="Calibri" w:hAnsi="Calibri"/>
          <w:b/>
          <w:color w:val="173A5E"/>
          <w:sz w:val="18"/>
        </w:rPr>
        <w:t xml:space="preserve">Figure 4. </w:t>
      </w:r>
      <w:r>
        <w:rPr>
          <w:rFonts w:ascii="Calibri" w:hAnsi="Calibri"/>
          <w:i/>
          <w:color w:val="66717C"/>
          <w:sz w:val="18"/>
        </w:rPr>
        <w:t>OAuth authorization remains outside the desktop model and MCP transcript.</w:t>
      </w:r>
    </w:p>
    <w:p>
      <w:pPr>
        <w:widowControl/>
      </w:pPr>
      <w:r>
        <w:rPr>
          <w:rFonts w:ascii="Calibri" w:hAnsi="Calibri"/>
          <w:color w:val="17212B"/>
          <w:sz w:val="22"/>
        </w:rPr>
        <w:t>The MCP Connect tool creates a bounded authorization attempt and returns a platform browser link. The broker validates the callback, exchanges and seals tokens, verifies granted scopes, and returns only an opaque connection handle plus sanitized capability status. Neither desktop host nor model sees access tokens, refresh tokens, client secrets, database passwords, or private keys.</w:t>
      </w:r>
    </w:p>
    <w:p>
      <w:pPr>
        <w:pStyle w:val="Heading2"/>
      </w:pPr>
      <w:r>
        <w:t>8.3 Generic API acquisition substrate</w:t>
      </w:r>
    </w:p>
    <w:p>
      <w:pPr>
        <w:widowControl/>
      </w:pPr>
      <w:r>
        <w:rPr>
          <w:rFonts w:ascii="Calibri" w:hAnsi="Calibri"/>
          <w:color w:val="17212B"/>
          <w:sz w:val="22"/>
        </w:rPr>
        <w:t>The MVP implements reusable HTTP transport for DNS/TLS validation, proxy policy, connection pooling, timeouts, pagination primitives, quota accounting, `Retry-After`, bounded retries, content-size limits, schema decoding, and redaction. It is an internal provider substrate, not an end-user arbitrary HTTP connector. A new API becomes usable only after its provider declares cursor, deletion, ordering, retry, and authentication semantics and passes the corresponding suite.</w:t>
      </w:r>
    </w:p>
    <w:p>
      <w:pPr>
        <w:pStyle w:val="Heading2"/>
      </w:pPr>
      <w:r>
        <w:t>8.4 Post-MVP Salesforce write-back</w:t>
      </w:r>
    </w:p>
    <w:p>
      <w:pPr>
        <w:widowControl/>
      </w:pPr>
      <w:r>
        <w:rPr>
          <w:rFonts w:ascii="Calibri" w:hAnsi="Calibri"/>
          <w:color w:val="17212B"/>
          <w:sz w:val="22"/>
        </w:rPr>
        <w:t>The first operational action is deliberately narrow: set a reconciliation-status field and verified order identifier on an Opportunity. It requires a stable action identity, expected prior record version, field-level authorization, contract-owner and policy-authority approval, idempotent update semantics, read-after-write verification, and separate action evidence. It cannot change stage, send email, initiate payment, provision service, or retry an ambiguous write without positive resolution. This slice begins only after the 30-day read/reconciliation gate.</w:t>
      </w:r>
    </w:p>
    <w:p>
      <w:pPr>
        <w:pStyle w:val="Heading1"/>
      </w:pPr>
      <w:r>
        <w:t>9 Kafka Decision</w:t>
      </w:r>
    </w:p>
    <w:p>
      <w:pPr>
        <w:pStyle w:val="Heading2"/>
      </w:pPr>
      <w:r>
        <w:t>9.1 Decision</w:t>
      </w:r>
    </w:p>
    <w:p>
      <w:pPr>
        <w:spacing w:before="80" w:after="160" w:line="259" w:lineRule="auto"/>
        <w:ind w:left="173" w:right="115"/>
        <w:shd w:fill="EAF1F6"/>
        <w:pBdr>
          <w:left w:val="single" w:sz="18" w:space="8" w:color="2E6E9E"/>
        </w:pBdr>
      </w:pPr>
      <w:r>
        <w:rPr>
          <w:rFonts w:ascii="Calibri" w:hAnsi="Calibri"/>
          <w:b/>
          <w:color w:val="173A5E"/>
          <w:sz w:val="21"/>
        </w:rPr>
        <w:t xml:space="preserve">Not in the required path: </w:t>
      </w:r>
      <w:r>
        <w:rPr>
          <w:rFonts w:ascii="Calibri" w:hAnsi="Calibri"/>
          <w:color w:val="17212B"/>
          <w:sz w:val="21"/>
        </w:rPr>
        <w:t>Do not make Kafka a mandatory internal record bus for the MVP. Use a managed work queue for leases, a coordination store for epochs and checkpoints, object storage for immutable stage/replay segments, and an append-only evidence log. Kafka adds a commit boundary without resolving external-system correctness.</w:t>
      </w:r>
    </w:p>
    <w:p>
      <w:pPr>
        <w:pStyle w:val="Caption"/>
        <w:keepNext/>
      </w:pPr>
      <w:r>
        <w:rPr>
          <w:rFonts w:ascii="Calibri" w:hAnsi="Calibri"/>
          <w:b/>
          <w:color w:val="173A5E"/>
          <w:sz w:val="18"/>
        </w:rPr>
        <w:t xml:space="preserve">Table 13. </w:t>
      </w:r>
      <w:r>
        <w:rPr>
          <w:rFonts w:ascii="Calibri" w:hAnsi="Calibri"/>
          <w:i/>
          <w:color w:val="66717C"/>
          <w:sz w:val="18"/>
        </w:rPr>
        <w:t>Kafka comparison</w:t>
      </w:r>
    </w:p>
    <w:tbl>
      <w:tblPr>
        <w:tblStyle w:val="TableGrid"/>
        <w:tblW w:type="dxa" w:w="9360"/>
        <w:jc w:val="left"/>
        <w:tblLayout w:type="fixed"/>
        <w:tblLook w:firstColumn="1" w:firstRow="1" w:lastColumn="0" w:lastRow="0" w:noHBand="0" w:noVBand="1" w:val="04A0"/>
        <w:tblInd w:type="dxa" w:w="120"/>
      </w:tblPr>
      <w:tblGrid>
        <w:gridCol w:w="2006"/>
        <w:gridCol w:w="3491"/>
        <w:gridCol w:w="3863"/>
      </w:tblGrid>
      <w:tr>
        <w:trPr>
          <w:tblHeader w:val="true"/>
          <w:cantSplit/>
        </w:trPr>
        <w:tc>
          <w:tcPr>
            <w:tcW w:type="dxa" w:w="200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Concern</w:t>
            </w:r>
          </w:p>
        </w:tc>
        <w:tc>
          <w:tcPr>
            <w:tcW w:type="dxa" w:w="349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Kafka provides</w:t>
            </w:r>
          </w:p>
        </w:tc>
        <w:tc>
          <w:tcPr>
            <w:tcW w:type="dxa" w:w="386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MVP still requires</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Partition progress</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Consumer offsets</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Contract epoch, source position, sink receipt, and conditional checkpoint</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Ordering</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Per-partition order</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Provider and contract ordering scope across acquisition and commit</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Replay</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Retained log replay</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Pinned mutable-source boundary and destination idempotency</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Exactly-once</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Transactional semantics within supported Kafka flows</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Resolution across PostgreSQL/Salesforce and Snowflake boundaries</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Fan-out</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Multiple consumer groups</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Not required for the single Revenue-to-Cash data product and its read-only projections</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Evidence throughput</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Ordered append, retention, and scalable consumption</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Tamper-evident contract ordering, policy retention, searchable decisions, and commit-path backpressure</w:t>
            </w:r>
          </w:p>
        </w:tc>
      </w:tr>
      <w:tr>
        <w:trPr>
          <w:cantSplit/>
        </w:trPr>
        <w:tc>
          <w:tcPr>
            <w:tcW w:type="dxa" w:w="200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Operations</w:t>
            </w:r>
          </w:p>
        </w:tc>
        <w:tc>
          <w:tcPr>
            <w:tcW w:type="dxa" w:w="349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Mature ecosystem</w:t>
            </w:r>
          </w:p>
        </w:tc>
        <w:tc>
          <w:tcPr>
            <w:tcW w:type="dxa" w:w="386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 managed service or another distributed system to own</w:t>
            </w:r>
          </w:p>
        </w:tc>
      </w:tr>
    </w:tbl>
    <w:p>
      <w:pPr>
        <w:spacing w:after="20"/>
      </w:pPr>
    </w:p>
    <w:p>
      <w:pPr>
        <w:pStyle w:val="Heading2"/>
      </w:pPr>
      <w:r>
        <w:t>9.2 Revisit trigger</w:t>
      </w:r>
    </w:p>
    <w:p>
      <w:pPr>
        <w:widowControl/>
      </w:pPr>
      <w:r>
        <w:rPr>
          <w:rFonts w:ascii="Calibri" w:hAnsi="Calibri"/>
          <w:color w:val="17212B"/>
          <w:sz w:val="22"/>
        </w:rPr>
        <w:t>Reconsider Kafka or another durable log when an admitted contract requires independent consumer fan-out, long replay retention, event routing, streaming-window semantics, or evidence write throughput and retention that the evidence service cannot satisfy economically. At that point Kafka is a Capability Provider with pinned topics, partitions, offsets, retention, schema, and consumer-group semantics; it is not assumed to make arbitrary endpoints exactly once.</w:t>
      </w:r>
    </w:p>
    <w:p>
      <w:pPr>
        <w:pStyle w:val="Heading1"/>
      </w:pPr>
      <w:r>
        <w:t>10 Managed Operations</w:t>
      </w:r>
    </w:p>
    <w:p>
      <w:pPr>
        <w:pStyle w:val="Heading2"/>
      </w:pPr>
      <w:r>
        <w:t>10.1 Service ownership</w:t>
      </w:r>
    </w:p>
    <w:p>
      <w:pPr>
        <w:widowControl/>
      </w:pPr>
      <w:r>
        <w:rPr>
          <w:rFonts w:ascii="Calibri" w:hAnsi="Calibri"/>
          <w:color w:val="17212B"/>
          <w:sz w:val="22"/>
        </w:rPr>
        <w:t>The platform team owns whether active contracts run on time. Customers authorize access, approve semantics, and respond to business-policy decisions; they do not size clusters, restart workers, tune partitions, maintain brokers, rotate internal state, or reconcile silent divergence.</w:t>
      </w:r>
    </w:p>
    <w:p>
      <w:pPr>
        <w:pStyle w:val="Caption"/>
        <w:keepNext/>
      </w:pPr>
      <w:r>
        <w:rPr>
          <w:rFonts w:ascii="Calibri" w:hAnsi="Calibri"/>
          <w:b/>
          <w:color w:val="173A5E"/>
          <w:sz w:val="18"/>
        </w:rPr>
        <w:t xml:space="preserve">Table 14. </w:t>
      </w:r>
      <w:r>
        <w:rPr>
          <w:rFonts w:ascii="Calibri" w:hAnsi="Calibri"/>
          <w:i/>
          <w:color w:val="66717C"/>
          <w:sz w:val="18"/>
        </w:rPr>
        <w:t>Operational control loops</w:t>
      </w:r>
    </w:p>
    <w:tbl>
      <w:tblPr>
        <w:tblStyle w:val="TableGrid"/>
        <w:tblW w:type="dxa" w:w="9360"/>
        <w:jc w:val="left"/>
        <w:tblLayout w:type="fixed"/>
        <w:tblLook w:firstColumn="1" w:firstRow="1" w:lastColumn="0" w:lastRow="0" w:noHBand="0" w:noVBand="1" w:val="04A0"/>
        <w:tblInd w:type="dxa" w:w="120"/>
      </w:tblPr>
      <w:tblGrid>
        <w:gridCol w:w="1656"/>
        <w:gridCol w:w="3096"/>
        <w:gridCol w:w="2880"/>
        <w:gridCol w:w="1728"/>
      </w:tblGrid>
      <w:tr>
        <w:trPr>
          <w:tblHeader w:val="true"/>
          <w:cantSplit/>
        </w:trPr>
        <w:tc>
          <w:tcPr>
            <w:tcW w:type="dxa" w:w="165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Loop</w:t>
            </w:r>
          </w:p>
        </w:tc>
        <w:tc>
          <w:tcPr>
            <w:tcW w:type="dxa" w:w="309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Inputs</w:t>
            </w:r>
          </w:p>
        </w:tc>
        <w:tc>
          <w:tcPr>
            <w:tcW w:type="dxa" w:w="28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Automatic action</w:t>
            </w:r>
          </w:p>
        </w:tc>
        <w:tc>
          <w:tcPr>
            <w:tcW w:type="dxa" w:w="17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Escalation condition</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Freshness</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Source observation, destination receipt, backlog, quotas</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Scale within envelope; reprioritize; backpressure</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No feasible capacity before deadline</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Authentication</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Token expiry, refresh result, scope drift</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Refresh or rotate</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Consent revoked, invalid grant, scope loss</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Schema</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Observed delta and dependency graph</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Continue only with neutrality proof</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Bound field, key, policy, or value semantics change</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Provider health</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Error classes, throttle evidence, conformance contradiction</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Circuit break and bounded retry</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Semantic contradiction or sustained outage</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Data product</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Pinned source generations, dbt run state, required tests, publication deadline</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Retry eligible external run; retain last conforming generation</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Required test failure, incompatible manifest, or deadline infeasible</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Revenue reconciliation</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Lifecycle rules, evidence times, exception deadlines</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Re-evaluate on new conforming generation; correlate related failures</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Deadline expires, evidence is Unknown, or exception volume breaches envelope</w:t>
            </w:r>
          </w:p>
        </w:tc>
      </w:tr>
      <w:tr>
        <w:trPr>
          <w:cantSplit/>
        </w:trPr>
        <w:tc>
          <w:tcPr>
            <w:tcW w:type="dxa" w:w="165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Cost/capacity</w:t>
            </w:r>
          </w:p>
        </w:tc>
        <w:tc>
          <w:tcPr>
            <w:tcW w:type="dxa" w:w="309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Measured rate and spend envelope</w:t>
            </w:r>
          </w:p>
        </w:tc>
        <w:tc>
          <w:tcPr>
            <w:tcW w:type="dxa" w:w="28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Recommend alternative plan</w:t>
            </w:r>
          </w:p>
        </w:tc>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Budget or provider ceiling infeasible</w:t>
            </w:r>
          </w:p>
        </w:tc>
      </w:tr>
    </w:tbl>
    <w:p>
      <w:pPr>
        <w:spacing w:after="20"/>
      </w:pPr>
    </w:p>
    <w:p>
      <w:pPr>
        <w:pStyle w:val="Heading2"/>
      </w:pPr>
      <w:r>
        <w:t>10.2 Contract states visible to users</w:t>
      </w:r>
    </w:p>
    <w:p>
      <w:pPr>
        <w:numPr>
          <w:ilvl w:val="0"/>
          <w:numId w:val="10"/>
        </w:numPr>
        <w:spacing w:after="100" w:line="264" w:lineRule="auto"/>
        <w:ind w:left="540" w:hanging="270"/>
      </w:pPr>
      <w:r>
        <w:rPr>
          <w:rFonts w:ascii="Calibri" w:hAnsi="Calibri"/>
          <w:color w:val="17212B"/>
          <w:sz w:val="22"/>
        </w:rPr>
        <w:t>Healthy — source, data-product, reconciliation, and exposure obligations are measured and satisfied.</w:t>
      </w:r>
    </w:p>
    <w:p>
      <w:pPr>
        <w:numPr>
          <w:ilvl w:val="0"/>
          <w:numId w:val="10"/>
        </w:numPr>
        <w:spacing w:after="100" w:line="264" w:lineRule="auto"/>
        <w:ind w:left="540" w:hanging="270"/>
      </w:pPr>
      <w:r>
        <w:rPr>
          <w:rFonts w:ascii="Calibri" w:hAnsi="Calibri"/>
          <w:color w:val="17212B"/>
          <w:sz w:val="22"/>
        </w:rPr>
        <w:t>At risk — evidence, capacity, quota, credential, or dbt run approaches a bound.</w:t>
      </w:r>
    </w:p>
    <w:p>
      <w:pPr>
        <w:numPr>
          <w:ilvl w:val="0"/>
          <w:numId w:val="10"/>
        </w:numPr>
        <w:spacing w:after="100" w:line="264" w:lineRule="auto"/>
        <w:ind w:left="540" w:hanging="270"/>
      </w:pPr>
      <w:r>
        <w:rPr>
          <w:rFonts w:ascii="Calibri" w:hAnsi="Calibri"/>
          <w:color w:val="17212B"/>
          <w:sz w:val="22"/>
        </w:rPr>
        <w:t>Late — a source or data-product freshness objective is currently violated.</w:t>
      </w:r>
    </w:p>
    <w:p>
      <w:pPr>
        <w:numPr>
          <w:ilvl w:val="0"/>
          <w:numId w:val="10"/>
        </w:numPr>
        <w:spacing w:after="100" w:line="264" w:lineRule="auto"/>
        <w:ind w:left="540" w:hanging="270"/>
      </w:pPr>
      <w:r>
        <w:rPr>
          <w:rFonts w:ascii="Calibri" w:hAnsi="Calibri"/>
          <w:color w:val="17212B"/>
          <w:sz w:val="22"/>
        </w:rPr>
        <w:t>Blocked — safe execution cannot continue, including authentication or required-test failure.</w:t>
      </w:r>
    </w:p>
    <w:p>
      <w:pPr>
        <w:numPr>
          <w:ilvl w:val="0"/>
          <w:numId w:val="10"/>
        </w:numPr>
        <w:spacing w:after="100" w:line="264" w:lineRule="auto"/>
        <w:ind w:left="540" w:hanging="270"/>
      </w:pPr>
      <w:r>
        <w:rPr>
          <w:rFonts w:ascii="Calibri" w:hAnsi="Calibri"/>
          <w:color w:val="17212B"/>
          <w:sz w:val="22"/>
        </w:rPr>
        <w:t>Indeterminate — an external commit may or may not have completed.</w:t>
      </w:r>
    </w:p>
    <w:p>
      <w:pPr>
        <w:numPr>
          <w:ilvl w:val="0"/>
          <w:numId w:val="10"/>
        </w:numPr>
        <w:spacing w:after="100" w:line="264" w:lineRule="auto"/>
        <w:ind w:left="540" w:hanging="270"/>
      </w:pPr>
      <w:r>
        <w:rPr>
          <w:rFonts w:ascii="Calibri" w:hAnsi="Calibri"/>
          <w:color w:val="17212B"/>
          <w:sz w:val="22"/>
        </w:rPr>
        <w:t>Quarantined — integrity or security evidence prevents publication.</w:t>
      </w:r>
    </w:p>
    <w:p>
      <w:pPr>
        <w:numPr>
          <w:ilvl w:val="0"/>
          <w:numId w:val="10"/>
        </w:numPr>
        <w:spacing w:after="100" w:line="264" w:lineRule="auto"/>
        <w:ind w:left="540" w:hanging="270"/>
      </w:pPr>
      <w:r>
        <w:rPr>
          <w:rFonts w:ascii="Calibri" w:hAnsi="Calibri"/>
          <w:color w:val="17212B"/>
          <w:sz w:val="22"/>
        </w:rPr>
        <w:t>Paused — authorized user or operator has stopped acquisition at a checkpoint.</w:t>
      </w:r>
    </w:p>
    <w:p>
      <w:pPr>
        <w:pStyle w:val="Heading2"/>
      </w:pPr>
      <w:r>
        <w:t>10.3 On-call and service review</w:t>
      </w:r>
    </w:p>
    <w:p>
      <w:pPr>
        <w:widowControl/>
      </w:pPr>
      <w:r>
        <w:rPr>
          <w:rFonts w:ascii="Calibri" w:hAnsi="Calibri"/>
          <w:color w:val="17212B"/>
          <w:sz w:val="22"/>
        </w:rPr>
        <w:t>Every incident is keyed by bundle, contract, plan, epoch, partition, data-product generation, rule version, and provider fault domain. The on-call view shows last safe checkpoints, affected finance generation, freshness debt, failed dbt tests, revenue exceptions, ambiguous commits, valid mitigation choices, and customer-visible consequence. Weekly review covers source and product freshness, reconciliation deadlines, mean recovery time, provider regressions, OAuth failures, false or missed exceptions, context-access denials, and manual interventions.</w:t>
      </w:r>
    </w:p>
    <w:p>
      <w:pPr>
        <w:pStyle w:val="Heading1"/>
      </w:pPr>
      <w:r>
        <w:t>11 Security and Tenant Isolation</w:t>
      </w:r>
    </w:p>
    <w:p>
      <w:pPr>
        <w:pStyle w:val="Heading2"/>
      </w:pPr>
      <w:r>
        <w:t>11.1 Required controls</w:t>
      </w:r>
    </w:p>
    <w:p>
      <w:pPr>
        <w:numPr>
          <w:ilvl w:val="0"/>
          <w:numId w:val="10"/>
        </w:numPr>
        <w:spacing w:after="100" w:line="264" w:lineRule="auto"/>
        <w:ind w:left="540" w:hanging="270"/>
      </w:pPr>
      <w:r>
        <w:rPr>
          <w:rFonts w:ascii="Calibri" w:hAnsi="Calibri"/>
          <w:color w:val="17212B"/>
          <w:sz w:val="22"/>
        </w:rPr>
        <w:t>Tenant identity is bound at every MCP request, contract lookup, compiler snapshot, graph, lease, grant, state key, and evidence event.</w:t>
      </w:r>
    </w:p>
    <w:p>
      <w:pPr>
        <w:numPr>
          <w:ilvl w:val="0"/>
          <w:numId w:val="10"/>
        </w:numPr>
        <w:spacing w:after="100" w:line="264" w:lineRule="auto"/>
        <w:ind w:left="540" w:hanging="270"/>
      </w:pPr>
      <w:r>
        <w:rPr>
          <w:rFonts w:ascii="Calibri" w:hAnsi="Calibri"/>
          <w:color w:val="17212B"/>
          <w:sz w:val="22"/>
        </w:rPr>
        <w:t>Authorization-filtered discovery cannot reveal names or counts of inaccessible assets.</w:t>
      </w:r>
    </w:p>
    <w:p>
      <w:pPr>
        <w:numPr>
          <w:ilvl w:val="0"/>
          <w:numId w:val="10"/>
        </w:numPr>
        <w:spacing w:after="100" w:line="264" w:lineRule="auto"/>
        <w:ind w:left="540" w:hanging="270"/>
      </w:pPr>
      <w:r>
        <w:rPr>
          <w:rFonts w:ascii="Calibri" w:hAnsi="Calibri"/>
          <w:color w:val="17212B"/>
          <w:sz w:val="22"/>
        </w:rPr>
        <w:t>Secrets are stored only in the broker/vault and resolved through scoped short-lived grants.</w:t>
      </w:r>
    </w:p>
    <w:p>
      <w:pPr>
        <w:numPr>
          <w:ilvl w:val="0"/>
          <w:numId w:val="10"/>
        </w:numPr>
        <w:spacing w:after="100" w:line="264" w:lineRule="auto"/>
        <w:ind w:left="540" w:hanging="270"/>
      </w:pPr>
      <w:r>
        <w:rPr>
          <w:rFonts w:ascii="Calibri" w:hAnsi="Calibri"/>
          <w:color w:val="17212B"/>
          <w:sz w:val="22"/>
        </w:rPr>
        <w:t>Execution graphs and Relay fragments are signed, immutable, version-pinned, and bounded by tenant, capability, endpoint, operation, and time.</w:t>
      </w:r>
    </w:p>
    <w:p>
      <w:pPr>
        <w:numPr>
          <w:ilvl w:val="0"/>
          <w:numId w:val="10"/>
        </w:numPr>
        <w:spacing w:after="100" w:line="264" w:lineRule="auto"/>
        <w:ind w:left="540" w:hanging="270"/>
      </w:pPr>
      <w:r>
        <w:rPr>
          <w:rFonts w:ascii="Calibri" w:hAnsi="Calibri"/>
          <w:color w:val="17212B"/>
          <w:sz w:val="22"/>
        </w:rPr>
        <w:t>Managed runtime cells enforce tenant resource envelopes and separate staging namespaces, state prefixes, grants, and encryption context.</w:t>
      </w:r>
    </w:p>
    <w:p>
      <w:pPr>
        <w:numPr>
          <w:ilvl w:val="0"/>
          <w:numId w:val="10"/>
        </w:numPr>
        <w:spacing w:after="100" w:line="264" w:lineRule="auto"/>
        <w:ind w:left="540" w:hanging="270"/>
      </w:pPr>
      <w:r>
        <w:rPr>
          <w:rFonts w:ascii="Calibri" w:hAnsi="Calibri"/>
          <w:color w:val="17212B"/>
          <w:sz w:val="22"/>
        </w:rPr>
        <w:t>Provider code runs with the minimum capability grant and no control-plane database access.</w:t>
      </w:r>
    </w:p>
    <w:p>
      <w:pPr>
        <w:numPr>
          <w:ilvl w:val="0"/>
          <w:numId w:val="10"/>
        </w:numPr>
        <w:spacing w:after="100" w:line="264" w:lineRule="auto"/>
        <w:ind w:left="540" w:hanging="270"/>
      </w:pPr>
      <w:r>
        <w:rPr>
          <w:rFonts w:ascii="Calibri" w:hAnsi="Calibri"/>
          <w:color w:val="17212B"/>
          <w:sz w:val="22"/>
        </w:rPr>
        <w:t>MCP mutations, OAuth events, approvals, releases, and operational overrides are retained as audit evidence.</w:t>
      </w:r>
    </w:p>
    <w:p>
      <w:pPr>
        <w:pStyle w:val="Heading2"/>
      </w:pPr>
      <w:r>
        <w:t>11.2 Relay boundary</w:t>
      </w:r>
    </w:p>
    <w:p>
      <w:pPr>
        <w:widowControl/>
      </w:pPr>
      <w:r>
        <w:rPr>
          <w:rFonts w:ascii="Calibri" w:hAnsi="Calibri"/>
          <w:color w:val="17212B"/>
          <w:sz w:val="22"/>
        </w:rPr>
        <w:t>The Relay initiates outbound control connectivity, validates signed fragments, resolves local credentials when configured, invokes only declared private capabilities, and buffers bounded evidence. It exposes no public listener for normal operation, performs no planning, accepts no arbitrary shell or code execution, and cannot extend its own lease or grant.</w:t>
      </w:r>
    </w:p>
    <w:p>
      <w:pPr>
        <w:pStyle w:val="Heading2"/>
      </w:pPr>
      <w:r>
        <w:t>11.3 Threat-driven tests</w:t>
      </w:r>
    </w:p>
    <w:p>
      <w:pPr>
        <w:pStyle w:val="Caption"/>
        <w:keepNext/>
      </w:pPr>
      <w:r>
        <w:rPr>
          <w:rFonts w:ascii="Calibri" w:hAnsi="Calibri"/>
          <w:b/>
          <w:color w:val="173A5E"/>
          <w:sz w:val="18"/>
        </w:rPr>
        <w:t xml:space="preserve">Table 15. </w:t>
      </w:r>
      <w:r>
        <w:rPr>
          <w:rFonts w:ascii="Calibri" w:hAnsi="Calibri"/>
          <w:i/>
          <w:color w:val="66717C"/>
          <w:sz w:val="18"/>
        </w:rPr>
        <w:t>Threat-driven acceptance tests</w:t>
      </w:r>
    </w:p>
    <w:tbl>
      <w:tblPr>
        <w:tblStyle w:val="TableGrid"/>
        <w:tblW w:type="dxa" w:w="9360"/>
        <w:jc w:val="left"/>
        <w:tblLayout w:type="fixed"/>
        <w:tblLook w:firstColumn="1" w:firstRow="1" w:lastColumn="0" w:lastRow="0" w:noHBand="0" w:noVBand="1" w:val="04A0"/>
        <w:tblInd w:type="dxa" w:w="120"/>
      </w:tblPr>
      <w:tblGrid>
        <w:gridCol w:w="2154"/>
        <w:gridCol w:w="4829"/>
        <w:gridCol w:w="2377"/>
      </w:tblGrid>
      <w:tr>
        <w:trPr>
          <w:tblHeader w:val="true"/>
          <w:cantSplit/>
        </w:trPr>
        <w:tc>
          <w:tcPr>
            <w:tcW w:type="dxa" w:w="215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Threat</w:t>
            </w:r>
          </w:p>
        </w:tc>
        <w:tc>
          <w:tcPr>
            <w:tcW w:type="dxa" w:w="482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Required negative test</w:t>
            </w:r>
          </w:p>
        </w:tc>
        <w:tc>
          <w:tcPr>
            <w:tcW w:type="dxa" w:w="237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Expected result</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Cross-tenant reference</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Substitute another tenant's contract, connection, provider, state, and evidence identifiers</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Uniform authorization failure with no existence disclosure</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Prompt-injected tool call</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Untrusted metadata requests activation or broader discovery</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Typed proposal is rejected or requires the normal approval path</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Grant replay</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Reuse an expired or wrong-endpoint capability grant</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Runtime rejects before provider access</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Stale graph</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Run a graph after contract or provider version invalidation</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Admission fails or bounded last-valid policy applies</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Relay compromise</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Attempt arbitrary destination, operation, secret, or unsigned fragment</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Relay rejects; blast radius remains within the issued grant</w:t>
            </w:r>
          </w:p>
        </w:tc>
      </w:tr>
      <w:tr>
        <w:trPr>
          <w:cantSplit/>
        </w:trPr>
        <w:tc>
          <w:tcPr>
            <w:tcW w:type="dxa" w:w="21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Secret exfiltration</w:t>
            </w:r>
          </w:p>
        </w:tc>
        <w:tc>
          <w:tcPr>
            <w:tcW w:type="dxa" w:w="48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Force provider errors and MCP explanations containing credentials</w:t>
            </w:r>
          </w:p>
        </w:tc>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Redaction blocks release and creates a security event</w:t>
            </w:r>
          </w:p>
        </w:tc>
      </w:tr>
    </w:tbl>
    <w:p>
      <w:pPr>
        <w:spacing w:after="20"/>
      </w:pPr>
    </w:p>
    <w:p>
      <w:pPr>
        <w:pStyle w:val="Heading1"/>
      </w:pPr>
      <w:r>
        <w:t>12 Implementation Workstreams</w:t>
      </w:r>
    </w:p>
    <w:p>
      <w:pPr>
        <w:pStyle w:val="Heading2"/>
      </w:pPr>
      <w:r>
        <w:t>12.1 Decomposition</w:t>
      </w:r>
    </w:p>
    <w:p>
      <w:pPr>
        <w:pStyle w:val="Caption"/>
        <w:keepNext/>
      </w:pPr>
      <w:r>
        <w:rPr>
          <w:rFonts w:ascii="Calibri" w:hAnsi="Calibri"/>
          <w:b/>
          <w:color w:val="173A5E"/>
          <w:sz w:val="18"/>
        </w:rPr>
        <w:t xml:space="preserve">Table 16. </w:t>
      </w:r>
      <w:r>
        <w:rPr>
          <w:rFonts w:ascii="Calibri" w:hAnsi="Calibri"/>
          <w:i/>
          <w:color w:val="66717C"/>
          <w:sz w:val="18"/>
        </w:rPr>
        <w:t>Workstream ownership</w:t>
      </w:r>
    </w:p>
    <w:tbl>
      <w:tblPr>
        <w:tblStyle w:val="TableGrid"/>
        <w:tblW w:type="dxa" w:w="9360"/>
        <w:jc w:val="left"/>
        <w:tblLayout w:type="fixed"/>
        <w:tblLook w:firstColumn="1" w:firstRow="1" w:lastColumn="0" w:lastRow="0" w:noHBand="0" w:noVBand="1" w:val="04A0"/>
        <w:tblInd w:type="dxa" w:w="120"/>
      </w:tblPr>
      <w:tblGrid>
        <w:gridCol w:w="2229"/>
        <w:gridCol w:w="5051"/>
        <w:gridCol w:w="2080"/>
      </w:tblGrid>
      <w:tr>
        <w:trPr>
          <w:tblHeader w:val="true"/>
          <w:cantSplit/>
        </w:trPr>
        <w:tc>
          <w:tcPr>
            <w:tcW w:type="dxa" w:w="2229"/>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Workstream</w:t>
            </w:r>
          </w:p>
        </w:tc>
        <w:tc>
          <w:tcPr>
            <w:tcW w:type="dxa" w:w="5051"/>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Primary deliverable</w:t>
            </w:r>
          </w:p>
        </w:tc>
        <w:tc>
          <w:tcPr>
            <w:tcW w:type="dxa" w:w="2080"/>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Depends on</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 Semantic kernel</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Contract-bundle lifecycle, AST/IIR, validation, legality, feasibility, activation digest</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Enterprise metadata adapters</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 Desktop authoring</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MCP server, Revenue-to-Cash conversation, Codex and Claude compatibility suite</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 identity, connection broker</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 Connection security</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OAuth/secret broker, scope validation, rotation, opaque handles</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Identity and vault</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 Provider kit</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Declarations, local harness, recorder, fault proxy, conformance reports</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 and C</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 Reference providers</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Salesforce acquisition, PostgreSQL snapshot/CDC, Snowflake commit</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 Runtime and state</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Work units, leases, epochs, checkpoints, scaling, Relay</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 C, D, E</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 Data-product binding</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dbt project/model binding, run observation, test and lineage evidence, publication generations</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 E, F</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H. Reconciliation and context</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Lifecycle evaluator, exception projections, governed finance/sales MCP resources</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 G, policy</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I. Managed operations</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Bundle health, control loops, incident resources, release and rollback</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B, F, G, H</w:t>
            </w:r>
          </w:p>
        </w:tc>
      </w:tr>
      <w:tr>
        <w:trPr>
          <w:cantSplit/>
        </w:trPr>
        <w:tc>
          <w:tcPr>
            <w:tcW w:type="dxa" w:w="2229"/>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J. Security and assurance</w:t>
            </w:r>
          </w:p>
        </w:tc>
        <w:tc>
          <w:tcPr>
            <w:tcW w:type="dxa" w:w="5051"/>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Threat model, isolation, signing, audit, recovery and write-back gates</w:t>
            </w:r>
          </w:p>
        </w:tc>
        <w:tc>
          <w:tcPr>
            <w:tcW w:type="dxa" w:w="2080"/>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All workstreams</w:t>
            </w:r>
          </w:p>
        </w:tc>
      </w:tr>
    </w:tbl>
    <w:p>
      <w:pPr>
        <w:spacing w:after="20"/>
      </w:pPr>
    </w:p>
    <w:p>
      <w:pPr>
        <w:pStyle w:val="Heading2"/>
      </w:pPr>
      <w:r>
        <w:t>12.2 Team topology</w:t>
      </w:r>
    </w:p>
    <w:p>
      <w:pPr>
        <w:widowControl/>
      </w:pPr>
      <w:r>
        <w:rPr>
          <w:rFonts w:ascii="Calibri" w:hAnsi="Calibri"/>
          <w:color w:val="17212B"/>
          <w:sz w:val="22"/>
        </w:rPr>
        <w:t>Start M0 with 6–8 engineers and grow to 18–22 at peak: four semantic/control-plane and MCP, four runtime/state/Relay, four provider/connectivity, two data-product/reconciliation, two security/assurance, two SRE/operations, and one to two product-design/program roles. No critical workstream has only one implementer; named backups cover compiler legality, state ownership, Salesforce, dbt publication, and incident control loops. Independent reviewers gate provider semantics, dbt publication, tenant isolation, activation authority, and any later write-back. Each partner supplies a data engineer, fractional Salesforce administrator, dbt owner, security reviewer, and finance/sales process owners during relevant phases.</w:t>
      </w:r>
    </w:p>
    <w:p>
      <w:pPr>
        <w:pStyle w:val="Heading2"/>
      </w:pPr>
      <w:r>
        <w:t>12.3 Repository boundary recommendation</w:t>
      </w:r>
    </w:p>
    <w:p>
      <w:pPr>
        <w:numPr>
          <w:ilvl w:val="0"/>
          <w:numId w:val="10"/>
        </w:numPr>
        <w:spacing w:after="100" w:line="264" w:lineRule="auto"/>
        <w:ind w:left="540" w:hanging="270"/>
      </w:pPr>
      <w:r>
        <w:rPr>
          <w:rFonts w:ascii="Calibri" w:hAnsi="Calibri"/>
          <w:color w:val="17212B"/>
          <w:sz w:val="22"/>
        </w:rPr>
        <w:t>`contract-compiler`: bundle lifecycle, AST/IIR, analysis, planner, verification.</w:t>
      </w:r>
    </w:p>
    <w:p>
      <w:pPr>
        <w:numPr>
          <w:ilvl w:val="0"/>
          <w:numId w:val="10"/>
        </w:numPr>
        <w:spacing w:after="100" w:line="264" w:lineRule="auto"/>
        <w:ind w:left="540" w:hanging="270"/>
      </w:pPr>
      <w:r>
        <w:rPr>
          <w:rFonts w:ascii="Calibri" w:hAnsi="Calibri"/>
          <w:color w:val="17212B"/>
          <w:sz w:val="22"/>
        </w:rPr>
        <w:t>`authoring-mcp`: resources/tools, host adapters, interaction conformance.</w:t>
      </w:r>
    </w:p>
    <w:p>
      <w:pPr>
        <w:numPr>
          <w:ilvl w:val="0"/>
          <w:numId w:val="10"/>
        </w:numPr>
        <w:spacing w:after="100" w:line="264" w:lineRule="auto"/>
        <w:ind w:left="540" w:hanging="270"/>
      </w:pPr>
      <w:r>
        <w:rPr>
          <w:rFonts w:ascii="Calibri" w:hAnsi="Calibri"/>
          <w:color w:val="17212B"/>
          <w:sz w:val="22"/>
        </w:rPr>
        <w:t>`connection-broker`: OAuth, secret entry, opaque handles, grants.</w:t>
      </w:r>
    </w:p>
    <w:p>
      <w:pPr>
        <w:numPr>
          <w:ilvl w:val="0"/>
          <w:numId w:val="10"/>
        </w:numPr>
        <w:spacing w:after="100" w:line="264" w:lineRule="auto"/>
        <w:ind w:left="540" w:hanging="270"/>
      </w:pPr>
      <w:r>
        <w:rPr>
          <w:rFonts w:ascii="Calibri" w:hAnsi="Calibri"/>
          <w:color w:val="17212B"/>
          <w:sz w:val="22"/>
        </w:rPr>
        <w:t>`provider-kit`: declarations, harness, recorder, fault injection, conformance.</w:t>
      </w:r>
    </w:p>
    <w:p>
      <w:pPr>
        <w:numPr>
          <w:ilvl w:val="0"/>
          <w:numId w:val="10"/>
        </w:numPr>
        <w:spacing w:after="100" w:line="264" w:lineRule="auto"/>
        <w:ind w:left="540" w:hanging="270"/>
      </w:pPr>
      <w:r>
        <w:rPr>
          <w:rFonts w:ascii="Calibri" w:hAnsi="Calibri"/>
          <w:color w:val="17212B"/>
          <w:sz w:val="22"/>
        </w:rPr>
        <w:t>`providers`: isolated PostgreSQL, Salesforce, and Snowflake packages.</w:t>
      </w:r>
    </w:p>
    <w:p>
      <w:pPr>
        <w:numPr>
          <w:ilvl w:val="0"/>
          <w:numId w:val="10"/>
        </w:numPr>
        <w:spacing w:after="100" w:line="264" w:lineRule="auto"/>
        <w:ind w:left="540" w:hanging="270"/>
      </w:pPr>
      <w:r>
        <w:rPr>
          <w:rFonts w:ascii="Calibri" w:hAnsi="Calibri"/>
          <w:color w:val="17212B"/>
          <w:sz w:val="22"/>
        </w:rPr>
        <w:t>`runtime`: graph supervisor, workers, leases, commit coordinator, Relay.</w:t>
      </w:r>
    </w:p>
    <w:p>
      <w:pPr>
        <w:numPr>
          <w:ilvl w:val="0"/>
          <w:numId w:val="10"/>
        </w:numPr>
        <w:spacing w:after="100" w:line="264" w:lineRule="auto"/>
        <w:ind w:left="540" w:hanging="270"/>
      </w:pPr>
      <w:r>
        <w:rPr>
          <w:rFonts w:ascii="Calibri" w:hAnsi="Calibri"/>
          <w:color w:val="17212B"/>
          <w:sz w:val="22"/>
        </w:rPr>
        <w:t>`data-product-adapter`: dbt binding, invocation observation, manifest/test/lineage evidence.</w:t>
      </w:r>
    </w:p>
    <w:p>
      <w:pPr>
        <w:numPr>
          <w:ilvl w:val="0"/>
          <w:numId w:val="10"/>
        </w:numPr>
        <w:spacing w:after="100" w:line="264" w:lineRule="auto"/>
        <w:ind w:left="540" w:hanging="270"/>
      </w:pPr>
      <w:r>
        <w:rPr>
          <w:rFonts w:ascii="Calibri" w:hAnsi="Calibri"/>
          <w:color w:val="17212B"/>
          <w:sz w:val="22"/>
        </w:rPr>
        <w:t>`reconciliation-context`: lifecycle rules, exceptions, governed read projections.</w:t>
      </w:r>
    </w:p>
    <w:p>
      <w:pPr>
        <w:numPr>
          <w:ilvl w:val="0"/>
          <w:numId w:val="10"/>
        </w:numPr>
        <w:spacing w:after="100" w:line="264" w:lineRule="auto"/>
        <w:ind w:left="540" w:hanging="270"/>
      </w:pPr>
      <w:r>
        <w:rPr>
          <w:rFonts w:ascii="Calibri" w:hAnsi="Calibri"/>
          <w:color w:val="17212B"/>
          <w:sz w:val="22"/>
        </w:rPr>
        <w:t>`evidence-ops`: evidence ingestion, bundle health, incident projections.</w:t>
      </w:r>
    </w:p>
    <w:p>
      <w:pPr>
        <w:numPr>
          <w:ilvl w:val="0"/>
          <w:numId w:val="10"/>
        </w:numPr>
        <w:spacing w:after="100" w:line="264" w:lineRule="auto"/>
        <w:ind w:left="540" w:hanging="270"/>
      </w:pPr>
      <w:r>
        <w:rPr>
          <w:rFonts w:ascii="Calibri" w:hAnsi="Calibri"/>
          <w:color w:val="17212B"/>
          <w:sz w:val="22"/>
        </w:rPr>
        <w:t>`system-assurance`: end-to-end story fixtures, fault campaigns, performance and isolation tests.</w:t>
      </w:r>
    </w:p>
    <w:p>
      <w:pPr>
        <w:pStyle w:val="Heading1"/>
      </w:pPr>
      <w:r>
        <w:t>13 Phased Delivery Plan</w:t>
      </w:r>
    </w:p>
    <w:p>
      <w:pPr>
        <w:keepNext/>
        <w:jc w:val="center"/>
      </w:pPr>
      <w:r>
        <w:drawing>
          <wp:inline xmlns:a="http://schemas.openxmlformats.org/drawingml/2006/main" xmlns:pic="http://schemas.openxmlformats.org/drawingml/2006/picture">
            <wp:extent cx="5806440" cy="3225800"/>
            <wp:docPr id="5" name="Picture 5" descr="Gated delivery sequence for the first production cohort."/>
            <wp:cNvGraphicFramePr>
              <a:graphicFrameLocks noChangeAspect="1"/>
            </wp:cNvGraphicFramePr>
            <a:graphic>
              <a:graphicData uri="http://schemas.openxmlformats.org/drawingml/2006/picture">
                <pic:pic>
                  <pic:nvPicPr>
                    <pic:cNvPr id="0" name="delivery_timeline.png"/>
                    <pic:cNvPicPr/>
                  </pic:nvPicPr>
                  <pic:blipFill>
                    <a:blip r:embed="rId15"/>
                    <a:stretch>
                      <a:fillRect/>
                    </a:stretch>
                  </pic:blipFill>
                  <pic:spPr>
                    <a:xfrm>
                      <a:off x="0" y="0"/>
                      <a:ext cx="5806440" cy="3225800"/>
                    </a:xfrm>
                    <a:prstGeom prst="rect"/>
                  </pic:spPr>
                </pic:pic>
              </a:graphicData>
            </a:graphic>
          </wp:inline>
        </w:drawing>
      </w:r>
    </w:p>
    <w:p>
      <w:pPr>
        <w:pStyle w:val="Caption"/>
      </w:pPr>
      <w:r>
        <w:rPr>
          <w:rFonts w:ascii="Calibri" w:hAnsi="Calibri"/>
          <w:b/>
          <w:color w:val="173A5E"/>
          <w:sz w:val="18"/>
        </w:rPr>
        <w:t xml:space="preserve">Figure 5. </w:t>
      </w:r>
      <w:r>
        <w:rPr>
          <w:rFonts w:ascii="Calibri" w:hAnsi="Calibri"/>
          <w:i/>
          <w:color w:val="66717C"/>
          <w:sz w:val="18"/>
        </w:rPr>
        <w:t>Gated delivery sequence for the first production cohort.</w:t>
      </w:r>
    </w:p>
    <w:p>
      <w:pPr>
        <w:pStyle w:val="Caption"/>
        <w:keepNext/>
      </w:pPr>
      <w:r>
        <w:rPr>
          <w:rFonts w:ascii="Calibri" w:hAnsi="Calibri"/>
          <w:b/>
          <w:color w:val="173A5E"/>
          <w:sz w:val="18"/>
        </w:rPr>
        <w:t xml:space="preserve">Table 17. </w:t>
      </w:r>
      <w:r>
        <w:rPr>
          <w:rFonts w:ascii="Calibri" w:hAnsi="Calibri"/>
          <w:i/>
          <w:color w:val="66717C"/>
          <w:sz w:val="18"/>
        </w:rPr>
        <w:t>Delivery phases and gates</w:t>
      </w:r>
    </w:p>
    <w:tbl>
      <w:tblPr>
        <w:tblStyle w:val="TableGrid"/>
        <w:tblW w:type="dxa" w:w="9360"/>
        <w:jc w:val="left"/>
        <w:tblLayout w:type="fixed"/>
        <w:tblLook w:firstColumn="1" w:firstRow="1" w:lastColumn="0" w:lastRow="0" w:noHBand="0" w:noVBand="1" w:val="04A0"/>
        <w:tblInd w:type="dxa" w:w="120"/>
      </w:tblPr>
      <w:tblGrid>
        <w:gridCol w:w="1728"/>
        <w:gridCol w:w="1224"/>
        <w:gridCol w:w="4032"/>
        <w:gridCol w:w="2376"/>
      </w:tblGrid>
      <w:tr>
        <w:trPr>
          <w:tblHeader w:val="true"/>
          <w:cantSplit/>
        </w:trPr>
        <w:tc>
          <w:tcPr>
            <w:tcW w:type="dxa" w:w="1728"/>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Phase</w:t>
            </w:r>
          </w:p>
        </w:tc>
        <w:tc>
          <w:tcPr>
            <w:tcW w:type="dxa" w:w="122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Duration</w:t>
            </w:r>
          </w:p>
        </w:tc>
        <w:tc>
          <w:tcPr>
            <w:tcW w:type="dxa" w:w="4032"/>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Deliverable</w:t>
            </w:r>
          </w:p>
        </w:tc>
        <w:tc>
          <w:tcPr>
            <w:tcW w:type="dxa" w:w="2376"/>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Exit gate</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0. Evidence thin thread</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6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One PostgreSQL order row to Snowflake; partner data/process inventory begins</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Fresh row linked to contract, graph, input boundary, manifest, receipt, and evidence</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1. Story authoring</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8–10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Versioned six-contract bundle, dual-host baseline, partner-derived golden fixture</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Same verified bundle resumes across hosts; stale approval and unauthorized discovery fail</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2. Slice 1 — revenue visibility</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12–14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Snapshots plus read-only partner metadata/process shadow; Salesforce security review already active</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Fresh linked opportunity/order visible; identity and lifecycle baselines meet eligibility gates</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3. Slice 1 — finance context</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8–10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Pinned dbt data product, required tests/lineage, governed MCP resource</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Finance agent reads a fresh revenue record with policy, source generations, model version, and timestamp</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4. Slice 2 — continuous state</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14–16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CDC/incrementals, deletes, epochs, fencing, backfills, two-week legality demonstration</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No uncovered interval; L01 admission and rule-table-miss rejection are reproducible</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5. Slice 2 — correctness service</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10–12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Calibrated lifecycle clocks, managed control loops, private Relay</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Every injected violation is detected; recovery preserves last conforming generation</w:t>
            </w:r>
          </w:p>
        </w:tc>
      </w:tr>
      <w:tr>
        <w:trPr>
          <w:cantSplit/>
        </w:trPr>
        <w:tc>
          <w:tcPr>
            <w:tcW w:type="dxa" w:w="1728"/>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6. Production cohort</w:t>
            </w:r>
          </w:p>
        </w:tc>
        <w:tc>
          <w:tcPr>
            <w:tcW w:type="dxa" w:w="122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12 weeks</w:t>
            </w:r>
          </w:p>
        </w:tc>
        <w:tc>
          <w:tcPr>
            <w:tcW w:type="dxa" w:w="4032"/>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Two partners run the complete story in coexistence; 30-day evidence window</w:t>
            </w:r>
          </w:p>
        </w:tc>
        <w:tc>
          <w:tcPr>
            <w:tcW w:type="dxa" w:w="237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All source, product, reconciliation, context, security, and operations gates are met</w:t>
            </w:r>
          </w:p>
        </w:tc>
      </w:tr>
    </w:tbl>
    <w:p>
      <w:pPr>
        <w:spacing w:after="20"/>
      </w:pPr>
    </w:p>
    <w:p>
      <w:pPr>
        <w:pStyle w:val="Heading2"/>
      </w:pPr>
      <w:r>
        <w:t>13.1 Schedule interpretation</w:t>
      </w:r>
    </w:p>
    <w:p>
      <w:pPr>
        <w:widowControl/>
      </w:pPr>
      <w:r>
        <w:rPr>
          <w:rFonts w:ascii="Calibri" w:hAnsi="Calibri"/>
          <w:color w:val="17212B"/>
          <w:sz w:val="22"/>
        </w:rPr>
        <w:t>The phase durations total 70–80 weeks with zero overlap. The committed envelope is 18–21 months, including partner security queues and contingency. Dependency-respecting overlap is limited: provider-kit and connection work may begin after M0 contract/grant interfaces stabilize; dbt binding may begin after Snowflake generation identity and receipt interfaces stabilize in Slice 1; reconciliation fixtures may begin after the data-product generation contract stabilizes; and cohort preparation may begin after continuous-state and security admission interfaces stabilize. No downstream gate is waived by overlap. The described overlap produces the optimistic end of the range; partner queues, hiring ramp, and contingency consume that gain, so the committed envelope holds even when overlap is not realized. Foundational Architecture Specification v0.3 retains an 18–24 month estimate for the broader compiler program, including cost intervals, shadow optimization, and migration research; this vertical plan exchanges some of that scope for Salesforce, OAuth, dbt, reconciliation, and context exposure. Funding remains gated at M0, revenue visibility, finance context, continuous state/legality, and cohort. Exclusions remain certification beyond three providers plus dbt adapter, go-to-market, and SOC 2/ISO work.</w:t>
      </w:r>
    </w:p>
    <w:p>
      <w:pPr>
        <w:pStyle w:val="Heading3"/>
      </w:pPr>
      <w:r>
        <w:t>Partner dependency model</w:t>
      </w:r>
    </w:p>
    <w:p>
      <w:pPr>
        <w:widowControl/>
      </w:pPr>
      <w:r>
        <w:rPr>
          <w:rFonts w:ascii="Calibri" w:hAnsi="Calibri"/>
          <w:color w:val="17212B"/>
          <w:sz w:val="22"/>
        </w:rPr>
        <w:t>Partner-side work is scheduled, not assumed: evaluation agreement and data inventory in M0; Salesforce connected-app/security review from project start; customer-executed identity aggregates and process-latency observation in phases 0–2; dbt owner and dedicated-job approval before phase 3; DBA source-load ceiling and Relay review before phase 4; finance/sales rule approval before phase 5. Partner delay consumes schedule contingency and cannot be hidden as engineering overlap.</w:t>
      </w:r>
    </w:p>
    <w:p>
      <w:pPr>
        <w:pStyle w:val="Heading3"/>
      </w:pPr>
      <w:r>
        <w:t>Hiring ramp assumption</w:t>
      </w:r>
    </w:p>
    <w:p>
      <w:pPr>
        <w:widowControl/>
      </w:pPr>
      <w:r>
        <w:rPr>
          <w:rFonts w:ascii="Calibri" w:hAnsi="Calibri"/>
          <w:color w:val="17212B"/>
          <w:sz w:val="22"/>
        </w:rPr>
        <w:t>Recruiting begins before M0 for compiler-legality and state-ownership leads; at project start for Salesforce/provider, security, and SRE roles needed by phases 1–2; and by phase 1 for dbt/reconciliation and cohort-operations capacity needed by phases 3–5. A new engineer is counted as productive only after an assumed eight-week onboarding period. Table 17 durations are ramp-adjusted within the 18–21 month envelope. Absence of the compiler-legality lead blocks phase 1, the state-ownership lead blocks phase 2, and the Salesforce-semantics lead blocks Salesforce certification. If a blocking role is not productive at its phase gate, that phase does not start; scope and funding are re-sequenced rather than silently stretching the duration.</w:t>
      </w:r>
    </w:p>
    <w:p>
      <w:pPr>
        <w:pStyle w:val="Heading2"/>
      </w:pPr>
      <w:r>
        <w:t>13.2 Post-MVP Slice 3 — bounded operational action</w:t>
      </w:r>
    </w:p>
    <w:p>
      <w:pPr>
        <w:widowControl/>
      </w:pPr>
      <w:r>
        <w:rPr>
          <w:rFonts w:ascii="Calibri" w:hAnsi="Calibri"/>
          <w:color w:val="17212B"/>
          <w:sz w:val="22"/>
        </w:rPr>
        <w:t>Only after the cohort gate may the team evaluate Salesforce reconciliation-status write-back. Admission requires a separate action contract, optimistic concurrency, idempotency and ambiguity-resolution evidence, policy approval, audit retention, and a shadow period. It is not required to declare the MVP complete and cannot inherit approval from the read-only bundle.</w:t>
      </w:r>
    </w:p>
    <w:p>
      <w:pPr>
        <w:pStyle w:val="Heading1"/>
      </w:pPr>
      <w:r>
        <w:t>14 Verification Strategy</w:t>
      </w:r>
    </w:p>
    <w:p>
      <w:pPr>
        <w:pStyle w:val="Heading2"/>
      </w:pPr>
      <w:r>
        <w:t>14.1 Test layers</w:t>
      </w:r>
    </w:p>
    <w:p>
      <w:pPr>
        <w:pStyle w:val="Caption"/>
        <w:keepNext/>
      </w:pPr>
      <w:r>
        <w:rPr>
          <w:rFonts w:ascii="Calibri" w:hAnsi="Calibri"/>
          <w:b/>
          <w:color w:val="173A5E"/>
          <w:sz w:val="18"/>
        </w:rPr>
        <w:t xml:space="preserve">Table 18. </w:t>
      </w:r>
      <w:r>
        <w:rPr>
          <w:rFonts w:ascii="Calibri" w:hAnsi="Calibri"/>
          <w:i/>
          <w:color w:val="66717C"/>
          <w:sz w:val="18"/>
        </w:rPr>
        <w:t>Verification layers</w:t>
      </w:r>
    </w:p>
    <w:tbl>
      <w:tblPr>
        <w:tblStyle w:val="TableGrid"/>
        <w:tblW w:type="dxa" w:w="9360"/>
        <w:jc w:val="left"/>
        <w:tblLayout w:type="fixed"/>
        <w:tblLook w:firstColumn="1" w:firstRow="1" w:lastColumn="0" w:lastRow="0" w:noHBand="0" w:noVBand="1" w:val="04A0"/>
        <w:tblInd w:type="dxa" w:w="120"/>
      </w:tblPr>
      <w:tblGrid>
        <w:gridCol w:w="1857"/>
        <w:gridCol w:w="7503"/>
      </w:tblGrid>
      <w:tr>
        <w:trPr>
          <w:tblHeader w:val="true"/>
          <w:cantSplit/>
        </w:trPr>
        <w:tc>
          <w:tcPr>
            <w:tcW w:type="dxa" w:w="185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Layer</w:t>
            </w:r>
          </w:p>
        </w:tc>
        <w:tc>
          <w:tcPr>
            <w:tcW w:type="dxa" w:w="750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Required evidence</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Semantic</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Golden six-contract bundles, ambiguity cases, policy conflicts, legality negatives, deterministic compilation replay</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Provider</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Fixture replay, property tests, mutation tests, fault proxy campaigns, version-pair regression</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Runtime</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Lease/fence model checks, worker kill, duplicate delivery, checkpoint loss, corrupt stage, ambiguous commit</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Data product</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Pinned dbt manifest and source generations, selected graph, required-test results, lineage, publication receipt</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Reconciliation</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Golden lifecycle cases, deadline boundaries, currency/tolerance rules, deletes, Unknown evidence, exception reproducibility</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End-to-end</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Fresh opportunity, order, payment, and subscription traced through Snowflake, dbt, reconciliation, and governed context</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MCP</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Host matrix, unauthorized discovery, malformed calls, stale digest, duplicate activation, reconnect/resume</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Security</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Cross-tenant substitution, purpose/PII denial, prompt-injected metadata, grant replay, signature failure, secret redaction</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Scale</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Partner ceiling tests plus synthetic 1→100 partitions, skew, quotas, control-plane outage, mass invalidation</w:t>
            </w:r>
          </w:p>
        </w:tc>
      </w:tr>
      <w:tr>
        <w:trPr>
          <w:cantSplit/>
        </w:trPr>
        <w:tc>
          <w:tcPr>
            <w:tcW w:type="dxa" w:w="185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Operations</w:t>
            </w:r>
          </w:p>
        </w:tc>
        <w:tc>
          <w:tcPr>
            <w:tcW w:type="dxa" w:w="75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Stuck source and dbt runs, missed exception deadline, alert correlation, restore, provider rollback, expired evidence</w:t>
            </w:r>
          </w:p>
        </w:tc>
      </w:tr>
    </w:tbl>
    <w:p>
      <w:pPr>
        <w:spacing w:after="20"/>
      </w:pPr>
    </w:p>
    <w:p>
      <w:pPr>
        <w:pStyle w:val="Heading2"/>
      </w:pPr>
      <w:r>
        <w:t>14.2 Reliability fault campaign</w:t>
      </w:r>
    </w:p>
    <w:p>
      <w:pPr>
        <w:numPr>
          <w:ilvl w:val="0"/>
          <w:numId w:val="10"/>
        </w:numPr>
        <w:spacing w:after="100" w:line="264" w:lineRule="auto"/>
        <w:ind w:left="540" w:hanging="270"/>
      </w:pPr>
      <w:r>
        <w:rPr>
          <w:rFonts w:ascii="Calibri" w:hAnsi="Calibri"/>
          <w:color w:val="17212B"/>
          <w:sz w:val="22"/>
        </w:rPr>
        <w:t>Kill a worker before stage completion, after stage completion, during merge, and after merge before checkpoint.</w:t>
      </w:r>
    </w:p>
    <w:p>
      <w:pPr>
        <w:numPr>
          <w:ilvl w:val="0"/>
          <w:numId w:val="10"/>
        </w:numPr>
        <w:spacing w:after="100" w:line="264" w:lineRule="auto"/>
        <w:ind w:left="540" w:hanging="270"/>
      </w:pPr>
      <w:r>
        <w:rPr>
          <w:rFonts w:ascii="Calibri" w:hAnsi="Calibri"/>
          <w:color w:val="17212B"/>
          <w:sz w:val="22"/>
        </w:rPr>
        <w:t>Duplicate and reorder Salesforce pages; expire OAuth during a bulk job; revoke consent during steady state.</w:t>
      </w:r>
    </w:p>
    <w:p>
      <w:pPr>
        <w:numPr>
          <w:ilvl w:val="0"/>
          <w:numId w:val="10"/>
        </w:numPr>
        <w:spacing w:after="100" w:line="264" w:lineRule="auto"/>
        <w:ind w:left="540" w:hanging="270"/>
      </w:pPr>
      <w:r>
        <w:rPr>
          <w:rFonts w:ascii="Calibri" w:hAnsi="Calibri"/>
          <w:color w:val="17212B"/>
          <w:sz w:val="22"/>
        </w:rPr>
        <w:t>Throttle PostgreSQL, Salesforce, and Snowflake independently and together.</w:t>
      </w:r>
    </w:p>
    <w:p>
      <w:pPr>
        <w:numPr>
          <w:ilvl w:val="0"/>
          <w:numId w:val="10"/>
        </w:numPr>
        <w:spacing w:after="100" w:line="264" w:lineRule="auto"/>
        <w:ind w:left="540" w:hanging="270"/>
      </w:pPr>
      <w:r>
        <w:rPr>
          <w:rFonts w:ascii="Calibri" w:hAnsi="Calibri"/>
          <w:color w:val="17212B"/>
          <w:sz w:val="22"/>
        </w:rPr>
        <w:t>Break the control plane while graphs, grants, and leases have different remaining validity.</w:t>
      </w:r>
    </w:p>
    <w:p>
      <w:pPr>
        <w:numPr>
          <w:ilvl w:val="0"/>
          <w:numId w:val="10"/>
        </w:numPr>
        <w:spacing w:after="100" w:line="264" w:lineRule="auto"/>
        <w:ind w:left="540" w:hanging="270"/>
      </w:pPr>
      <w:r>
        <w:rPr>
          <w:rFonts w:ascii="Calibri" w:hAnsi="Calibri"/>
          <w:color w:val="17212B"/>
          <w:sz w:val="22"/>
        </w:rPr>
        <w:t>Inject a broad provider attestation invalidation and measure revalidation fan-out.</w:t>
      </w:r>
    </w:p>
    <w:p>
      <w:pPr>
        <w:numPr>
          <w:ilvl w:val="0"/>
          <w:numId w:val="10"/>
        </w:numPr>
        <w:spacing w:after="100" w:line="264" w:lineRule="auto"/>
        <w:ind w:left="540" w:hanging="270"/>
      </w:pPr>
      <w:r>
        <w:rPr>
          <w:rFonts w:ascii="Calibri" w:hAnsi="Calibri"/>
          <w:color w:val="17212B"/>
          <w:sz w:val="22"/>
        </w:rPr>
        <w:t>Corrupt a staged object and a checkpoint replica; demonstrate quarantine and reconstruction.</w:t>
      </w:r>
    </w:p>
    <w:p>
      <w:pPr>
        <w:numPr>
          <w:ilvl w:val="0"/>
          <w:numId w:val="10"/>
        </w:numPr>
        <w:spacing w:after="100" w:line="264" w:lineRule="auto"/>
        <w:ind w:left="540" w:hanging="270"/>
      </w:pPr>
      <w:r>
        <w:rPr>
          <w:rFonts w:ascii="Calibri" w:hAnsi="Calibri"/>
          <w:color w:val="17212B"/>
          <w:sz w:val="22"/>
        </w:rPr>
        <w:t>Interrupt Relay update before switch, after switch, and during rollback.</w:t>
      </w:r>
    </w:p>
    <w:p>
      <w:pPr>
        <w:numPr>
          <w:ilvl w:val="0"/>
          <w:numId w:val="10"/>
        </w:numPr>
        <w:spacing w:after="100" w:line="264" w:lineRule="auto"/>
        <w:ind w:left="540" w:hanging="270"/>
      </w:pPr>
      <w:r>
        <w:rPr>
          <w:rFonts w:ascii="Calibri" w:hAnsi="Calibri"/>
          <w:color w:val="17212B"/>
          <w:sz w:val="22"/>
        </w:rPr>
        <w:t>Force schema changes to a bound field, unbound field, key, deletion marker, and classified field.</w:t>
      </w:r>
    </w:p>
    <w:p>
      <w:pPr>
        <w:numPr>
          <w:ilvl w:val="0"/>
          <w:numId w:val="10"/>
        </w:numPr>
        <w:spacing w:after="100" w:line="264" w:lineRule="auto"/>
        <w:ind w:left="540" w:hanging="270"/>
      </w:pPr>
      <w:r>
        <w:rPr>
          <w:rFonts w:ascii="Calibri" w:hAnsi="Calibri"/>
          <w:color w:val="17212B"/>
          <w:sz w:val="22"/>
        </w:rPr>
        <w:t>During the synthetic 100-partition test, measure evidence events/s, bytes/s, append p95/p99, backlog recovery, retained bytes, and contract-timeline query latency.</w:t>
      </w:r>
    </w:p>
    <w:p>
      <w:pPr>
        <w:pStyle w:val="Heading2"/>
      </w:pPr>
      <w:r>
        <w:t>14.3 No proxy evidence</w:t>
      </w:r>
    </w:p>
    <w:p>
      <w:pPr>
        <w:spacing w:before="80" w:after="160" w:line="259" w:lineRule="auto"/>
        <w:ind w:left="173" w:right="115"/>
        <w:shd w:fill="EAF1F6"/>
        <w:pBdr>
          <w:left w:val="single" w:sz="18" w:space="8" w:color="2E6E9E"/>
        </w:pBdr>
      </w:pPr>
      <w:r>
        <w:rPr>
          <w:rFonts w:ascii="Calibri" w:hAnsi="Calibri"/>
          <w:b/>
          <w:color w:val="173A5E"/>
          <w:sz w:val="21"/>
        </w:rPr>
        <w:t xml:space="preserve">Release rule: </w:t>
      </w:r>
      <w:r>
        <w:rPr>
          <w:rFonts w:ascii="Calibri" w:hAnsi="Calibri"/>
          <w:color w:val="17212B"/>
          <w:sz w:val="21"/>
        </w:rPr>
        <w:t>A green build, responsive endpoint, healthy worker, populated warehouse, or agent answer is not proof. Every release candidate must create a new lifecycle transaction and trace it through source evidence, Snowflake receipt, dbt publication, rule evaluation, and authorization-filtered context; existing rows are fixtures.</w:t>
      </w:r>
    </w:p>
    <w:p>
      <w:pPr>
        <w:pStyle w:val="Heading1"/>
      </w:pPr>
      <w:r>
        <w:t>15 Production Cohort and Exit Gates</w:t>
      </w:r>
    </w:p>
    <w:p>
      <w:pPr>
        <w:pStyle w:val="Heading2"/>
      </w:pPr>
      <w:r>
        <w:t>15.1 Cohort shape</w:t>
      </w:r>
    </w:p>
    <w:p>
      <w:pPr>
        <w:widowControl/>
      </w:pPr>
      <w:r>
        <w:rPr>
          <w:rFonts w:ascii="Calibri" w:hAnsi="Calibri"/>
          <w:color w:val="17212B"/>
          <w:sz w:val="22"/>
        </w:rPr>
        <w:t>Select two B2B subscription partners that operate Salesforce, PostgreSQL, Snowflake, and a version-controlled, CI-tested dbt project with a named owner who accepts pilot pinning. Their in-scope opportunity→order and payment→subscription transitions must be system-driven rather than human- or batch-gated, verified through a read-only shadow baseline before signature. Under an evaluation agreement, each partner executes the unchanged aggregate 12-month identity screen: the share of eligible matured closed-won opportunities resolving to exactly one order, the share of eligible settled payments resolving to exactly one subscription, the ambiguous one-to-many rate, and every exclusion reason are measured and retained. The prior 98%, 99%, and 0.5% reference points remain reported for comparison but are not estate-wide eligibility gates. The screen scopes the contract; it does not silently filter it.</w:t>
      </w:r>
    </w:p>
    <w:p>
      <w:pPr>
        <w:widowControl/>
      </w:pPr>
      <w:r>
        <w:rPr>
          <w:rFonts w:ascii="Calibri" w:hAnsi="Calibri"/>
          <w:color w:val="17212B"/>
          <w:sz w:val="22"/>
        </w:rPr>
        <w:t>The declared reconciliation scope contains only records resolved unambiguously through the partner's authoritative mapping. It names and counts excluded reason classes—multi-order opportunity, amendment, renewal against an existing subscription, partial fulfilment, and missing mapping—with an accountable owner and approval authority. Coverage and exclusions are reported beside every reconciliation result; no exclusion is silent. Initial eligibility requires at least 250 matured opportunity transitions and 500 settled-payment transitions per year, at least 60% of each eligible population in scope, and no unexplained month-to-month membership drift above five percentage points for two consecutive months. Every threshold is subject to M0 calibration, not a universal platform rule. A provable claim over a declared subset with visible exclusions is valid; requiring 98% clean identity across the estate would require the customer to have already solved the problem the product is intended to expose. Exclude prospects requiring compiler-native probabilistic matching, payment actions, or transformation replacement.</w:t>
      </w:r>
    </w:p>
    <w:p>
      <w:pPr>
        <w:pStyle w:val="Heading2"/>
      </w:pPr>
      <w:r>
        <w:t>15.2 Quantitative gates</w:t>
      </w:r>
    </w:p>
    <w:p>
      <w:pPr>
        <w:pStyle w:val="Caption"/>
        <w:keepNext/>
      </w:pPr>
      <w:r>
        <w:rPr>
          <w:rFonts w:ascii="Calibri" w:hAnsi="Calibri"/>
          <w:b/>
          <w:color w:val="173A5E"/>
          <w:sz w:val="18"/>
        </w:rPr>
        <w:t xml:space="preserve">Table 19. </w:t>
      </w:r>
      <w:r>
        <w:rPr>
          <w:rFonts w:ascii="Calibri" w:hAnsi="Calibri"/>
          <w:i/>
          <w:color w:val="66717C"/>
          <w:sz w:val="18"/>
        </w:rPr>
        <w:t>Cohort exit metrics</w:t>
      </w:r>
    </w:p>
    <w:tbl>
      <w:tblPr>
        <w:tblStyle w:val="TableGrid"/>
        <w:tblW w:type="dxa" w:w="9360"/>
        <w:jc w:val="left"/>
        <w:tblLayout w:type="fixed"/>
        <w:tblLook w:firstColumn="1" w:firstRow="1" w:lastColumn="0" w:lastRow="0" w:noHBand="0" w:noVBand="1" w:val="04A0"/>
        <w:tblInd w:type="dxa" w:w="120"/>
      </w:tblPr>
      <w:tblGrid>
        <w:gridCol w:w="2377"/>
        <w:gridCol w:w="6983"/>
      </w:tblGrid>
      <w:tr>
        <w:trPr>
          <w:tblHeader w:val="true"/>
          <w:cantSplit/>
        </w:trPr>
        <w:tc>
          <w:tcPr>
            <w:tcW w:type="dxa" w:w="2377"/>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Metric</w:t>
            </w:r>
          </w:p>
        </w:tc>
        <w:tc>
          <w:tcPr>
            <w:tcW w:type="dxa" w:w="698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Gate</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Authoring</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Median T0 draft-to-ready under 5 minutes excluding external login; no more than 2 material questions</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Host portability</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100% of test drafts resume from Codex to Claude and vice versa without semantic delta</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Source freshness</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Per contract and declared window, ≥99% meet objective in cohort; 99.9% is GA target. Report maximum continuous lateness</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Product freshness</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Per declared product window, ≥99% of conforming source generations publish in objective; 99.9% is GA target</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Correctness</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Zero unexplained missing keys, duplicate final effects, uncovered CDC intervals, silent coercions, or mismatched generation bindings</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Reconciliation</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100% of injected violations detected; every exception and declared-scope exclusion reproduces from retained evidence</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Exception delivery</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100% open within detection deadline, carry complete evidence, route to named owner, and escalate at SLA expiry</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Legality</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L01 admission reproduces D1–D8 proof; rule-table miss reproduces absent rule, unmet obligations, evidence, and smallest-change counterfactual</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Governed context</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Every answer carries product generation, freshness, lineage, purpose decision, and masking state; no unauthorized PII release</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Recovery</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All injected worker and control-plane failures recover inside declared RTO without manual data repair</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Authentication</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All tested expiry/rotation paths recover without lost checkpoint; revocation blocks new access</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Operations</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Every late, blocked, failed-test, or overdue-exception state surfaces before customer report; shared causes correlate</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Scale</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Elastic scale within each partner's declared ceiling; separate synthetic 1→100 test with no contract or commit-semantic change</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Connector kit</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Independent team reaches Provisional acquisition provider without runtime changes</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Unit economics</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Fully loaded cost reported by component; &gt;$1,000 per contract-month at cohort volume disproves per-contract pricing before expansion</w:t>
            </w:r>
          </w:p>
        </w:tc>
      </w:tr>
      <w:tr>
        <w:trPr>
          <w:cantSplit/>
        </w:trPr>
        <w:tc>
          <w:tcPr>
            <w:tcW w:type="dxa" w:w="2377"/>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Service window</w:t>
            </w:r>
          </w:p>
        </w:tc>
        <w:tc>
          <w:tcPr>
            <w:tcW w:type="dxa" w:w="698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30 consecutive production days for the complete Revenue-to-Cash bundle at both partners</w:t>
            </w:r>
          </w:p>
        </w:tc>
      </w:tr>
    </w:tbl>
    <w:p>
      <w:pPr>
        <w:spacing w:after="20"/>
      </w:pPr>
    </w:p>
    <w:p>
      <w:pPr>
        <w:widowControl/>
      </w:pPr>
      <w:r>
        <w:rPr>
          <w:rFonts w:ascii="Calibri" w:hAnsi="Calibri"/>
          <w:color w:val="17212B"/>
          <w:sz w:val="22"/>
        </w:rPr>
        <w:t>Partner acknowledgement, closure, and exception-opening rates are reported cohort observations alongside the calibrated expected envelope; they are not platform exit gates.</w:t>
      </w:r>
    </w:p>
    <w:p>
      <w:pPr>
        <w:widowControl/>
      </w:pPr>
      <w:r>
        <w:rPr>
          <w:rFonts w:ascii="Calibri" w:hAnsi="Calibri"/>
          <w:color w:val="17212B"/>
          <w:sz w:val="22"/>
        </w:rPr>
        <w:t>A provider-outage exclusion is permitted only when defined before activation and supported by contemporaneous official provider status evidence or independent platform probes showing the fault outside the governed service boundary. Operators cannot apply exclusions retroactively. Every exclusion remains visible in numerator, denominator, duration, and maximum-lateness reporting.</w:t>
      </w:r>
    </w:p>
    <w:p>
      <w:pPr>
        <w:widowControl/>
      </w:pPr>
      <w:r>
        <w:rPr>
          <w:rFonts w:ascii="Calibri" w:hAnsi="Calibri"/>
          <w:color w:val="17212B"/>
          <w:sz w:val="22"/>
        </w:rPr>
        <w:t>The $1,000 ceiling is an order-of-magnitude decision threshold, not a price promise. It includes warehouse compute/storage, measured source load, platform compute, staging, evidence retention, and egress. Exceeding it requires a different unit, packaging, or commercial model before provider expansion, supplying cohort evidence for the architecture specification's economic-alignment argument.</w:t>
      </w:r>
    </w:p>
    <w:p>
      <w:pPr>
        <w:pStyle w:val="Heading2"/>
      </w:pPr>
      <w:r>
        <w:t>15.3 Decision after cohort</w:t>
      </w:r>
    </w:p>
    <w:p>
      <w:pPr>
        <w:widowControl/>
      </w:pPr>
      <w:r>
        <w:rPr>
          <w:rFonts w:ascii="Calibri" w:hAnsi="Calibri"/>
          <w:color w:val="17212B"/>
          <w:sz w:val="22"/>
        </w:rPr>
        <w:t>Proceed to broader provider certification only if the cohort shows that the coherent outcome is maintainable and that the curated legality mechanism admits and rejects candidates reproducibly. It does not prove general equivalence, cost optimization, autonomous migration, hysteresis, or optimizer stability. Negative evidence narrows the story before streaming, Kafka, action contracts, or autonomy. The connector-kit gate is independently dispositive: failure to reach Provisional without runtime changes blocks expansion even when the vertical story runs.</w:t>
      </w:r>
    </w:p>
    <w:p>
      <w:pPr>
        <w:pStyle w:val="Heading2"/>
      </w:pPr>
      <w:r>
        <w:t>15.4 Partner end-state</w:t>
      </w:r>
    </w:p>
    <w:p>
      <w:pPr>
        <w:widowControl/>
      </w:pPr>
      <w:r>
        <w:rPr>
          <w:rFonts w:ascii="Calibri" w:hAnsi="Calibri"/>
          <w:color w:val="17212B"/>
          <w:sz w:val="22"/>
        </w:rPr>
        <w:t>Before recruitment, each partner receives three end states. If the cohort decision is positive, the contract converts to a time-bounded supported early-production agreement with named service owner and commercial terms. If evaluation continues, operation remains a supported pilot with explicit expiry and no expanded semantics. If the decision is negative or the partner exits, the platform pauses at a checkpoint, exports contract/evidence/checkpoint records, revokes credentials and grants, deletes transient staging on schedule, applies agreed retention to audit evidence, and confirms whether destination data remains partner-owned. Support and incident ownership continue through the agreed wind-down date.</w:t>
      </w:r>
    </w:p>
    <w:p>
      <w:pPr>
        <w:pStyle w:val="Heading1"/>
      </w:pPr>
      <w:r>
        <w:t>16 Risks and Containment</w:t>
      </w:r>
    </w:p>
    <w:p>
      <w:pPr>
        <w:pStyle w:val="Caption"/>
        <w:keepNext/>
      </w:pPr>
      <w:r>
        <w:rPr>
          <w:rFonts w:ascii="Calibri" w:hAnsi="Calibri"/>
          <w:b/>
          <w:color w:val="173A5E"/>
          <w:sz w:val="18"/>
        </w:rPr>
        <w:t xml:space="preserve">Table 20. </w:t>
      </w:r>
      <w:r>
        <w:rPr>
          <w:rFonts w:ascii="Calibri" w:hAnsi="Calibri"/>
          <w:i/>
          <w:color w:val="66717C"/>
          <w:sz w:val="18"/>
        </w:rPr>
        <w:t>Principal MVP risks</w:t>
      </w:r>
    </w:p>
    <w:tbl>
      <w:tblPr>
        <w:tblStyle w:val="TableGrid"/>
        <w:tblW w:type="dxa" w:w="9360"/>
        <w:jc w:val="left"/>
        <w:tblLayout w:type="fixed"/>
        <w:tblLook w:firstColumn="1" w:firstRow="1" w:lastColumn="0" w:lastRow="0" w:noHBand="0" w:noVBand="1" w:val="04A0"/>
        <w:tblInd w:type="dxa" w:w="120"/>
      </w:tblPr>
      <w:tblGrid>
        <w:gridCol w:w="2303"/>
        <w:gridCol w:w="4754"/>
        <w:gridCol w:w="2303"/>
      </w:tblGrid>
      <w:tr>
        <w:trPr>
          <w:tblHeader w:val="true"/>
          <w:cantSplit/>
        </w:trPr>
        <w:tc>
          <w:tcPr>
            <w:tcW w:type="dxa" w:w="230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Risk</w:t>
            </w:r>
          </w:p>
        </w:tc>
        <w:tc>
          <w:tcPr>
            <w:tcW w:type="dxa" w:w="4754"/>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Containment</w:t>
            </w:r>
          </w:p>
        </w:tc>
        <w:tc>
          <w:tcPr>
            <w:tcW w:type="dxa" w:w="2303"/>
            <w:shd w:fill="EAF1F6"/>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b/>
                <w:color w:val="173A5E"/>
                <w:sz w:val="17"/>
              </w:rPr>
              <w:t>Stop or redesign trigger</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Desktop models produce inconsistent drafts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Server-side typed deltas, bounded tools, deterministic validation, host matrix</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Material semantic delta persists after the same authoritative answers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Provider semantics cannot be certified economically</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Provisional tier, narrow capabilities, shared harness, measured effort</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Reference provider exceeds 8 engineer-months without reusable evidence</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Mutable-source replay is not reproducible</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Pinned snapshot/LSN/cursor or persisted extraction segment</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Provider lacks a stable boundary and reconciliation cannot bound loss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Snowflake commit ambiguity escapes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Stable batch identity, commit query, checkpoint-after-receipt</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No provider mechanism can resolve or safely replay commit</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Elasticity overloads source</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Quota-aware admission, source-load ceiling, conservative scale controller</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Freshness requires violating an approved source ceiling</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MCP host behavior diverges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Common subset and server-owned state</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A required approval or resource cannot be represented safely in one host</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Cross-system identity is ambiguous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Require authoritative keys or version-pinned dbt mapping; Unknown blocks Conforming</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Pilot needs probabilistic matching or recurring manual identity repair</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Declared scope loses usefulness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Count/classify exclusions; named owners; minimum volume, coverage, and drift gates</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Scope falls below threshold or unexplained exclusion growth &gt;5 points for two months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Lifecycle deadlines misfit reality</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Shadow baseline, separate business/detection clocks, agreed percentile and process obligation</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False exceptions exceed real exceptions after two calibration rounds</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External dbt environment is not reproducible</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Pin project, manifest, model graph, environment, sources, tests, and receipts</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Same inputs and project digest produce materially different product state</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Salesforce certification or approval overruns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Start connected-app review in M0; certify narrow objects and semantics first</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Exceeds 8 provider-engineer months without reusable conformance evidence</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Hiring misses staffing curve</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Recruit blocking leads early; eight-week onboarding; gated phase starts</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Blocking role is not productive at the phase gate</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Agent context leaks governed data</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Purpose-bound resources, field policy, redaction, provenance, adversarial prompt tests</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Host or model can bypass server-side field and row authorization</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Qualified partner pool is too small</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Source in week one; evaluation agreements; declared-scope fallback; friendly narrow first bundle</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No partner clears screening within 12 weeks; revisit vertical and screen before phase 1</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Managed service becomes manual operations</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Automated control loops and intervention accounting</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tcMar>
              <w:top w:w="80" w:type="dxa"/>
              <w:bottom w:w="80" w:type="dxa"/>
              <w:start w:w="120" w:type="dxa"/>
              <w:end w:w="120" w:type="dxa"/>
            </w:tcMar>
          </w:tcPr>
          <w:p>
            <w:pPr>
              <w:spacing w:after="0" w:line="240" w:lineRule="auto"/>
            </w:pPr>
            <w:r>
              <w:rPr>
                <w:rFonts w:ascii="Calibri" w:hAnsi="Calibri"/>
                <w:color w:val="17212B"/>
                <w:sz w:val="16"/>
              </w:rPr>
              <w:t>Pilot requires recurring per-contract data repair or infrastructure tuning</w:t>
            </w:r>
          </w:p>
        </w:tc>
      </w:tr>
      <w:tr>
        <w:trPr>
          <w:cantSplit/>
        </w:trPr>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Kafka omission creates hidden bottleneck</w:t>
            </w:r>
          </w:p>
        </w:tc>
        <w:tc>
          <w:tcPr>
            <w:tcW w:type="dxa" w:w="4754"/>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Measure work queue, evidence, and staging limits</w:t>
            </w:r>
          </w:p>
        </w:tc>
        <w:tc>
          <w:tcPr>
            <w:tcW w:type="dxa" w:w="2303"/>
            <w:tcBorders>
              <w:top w:val="single" w:sz="6" w:color="AEB9C2"/>
              <w:left w:val="single" w:sz="6" w:color="AEB9C2"/>
              <w:bottom w:val="single" w:sz="6" w:color="AEB9C2"/>
              <w:right w:val="single" w:sz="6" w:color="AEB9C2"/>
              <w:insideH w:val="single" w:sz="6" w:color="AEB9C2"/>
              <w:insideV w:val="single" w:sz="6" w:color="AEB9C2"/>
            </w:tcBorders>
            <w:vAlign w:val="center"/>
            <w:shd w:fill="F4F7F9"/>
            <w:tcMar>
              <w:top w:w="80" w:type="dxa"/>
              <w:bottom w:w="80" w:type="dxa"/>
              <w:start w:w="120" w:type="dxa"/>
              <w:end w:w="120" w:type="dxa"/>
            </w:tcMar>
          </w:tcPr>
          <w:p>
            <w:pPr>
              <w:spacing w:after="0" w:line="240" w:lineRule="auto"/>
            </w:pPr>
            <w:r>
              <w:rPr>
                <w:rFonts w:ascii="Calibri" w:hAnsi="Calibri"/>
                <w:color w:val="17212B"/>
                <w:sz w:val="16"/>
              </w:rPr>
              <w:t>Independent fan-out or replay dominates cohort workload</w:t>
            </w:r>
          </w:p>
        </w:tc>
      </w:tr>
    </w:tbl>
    <w:p>
      <w:pPr>
        <w:spacing w:after="20"/>
      </w:pPr>
    </w:p>
    <w:p>
      <w:pPr>
        <w:pStyle w:val="Heading1"/>
      </w:pPr>
      <w:r>
        <w:t>17 Immediate Next Actions</w:t>
      </w:r>
    </w:p>
    <w:p>
      <w:pPr>
        <w:numPr>
          <w:ilvl w:val="0"/>
          <w:numId w:val="15"/>
        </w:numPr>
        <w:spacing w:after="100" w:line="264" w:lineRule="auto"/>
        <w:ind w:left="540" w:hanging="270"/>
      </w:pPr>
      <w:r>
        <w:rPr>
          <w:rFonts w:ascii="Calibri" w:hAnsi="Calibri"/>
          <w:color w:val="17212B"/>
          <w:sz w:val="22"/>
        </w:rPr>
        <w:t>Name accountable owners and backups for semantic kernel, runtime/state, providers, desktop authoring, data-product/reconciliation, security, and service operations.</w:t>
      </w:r>
    </w:p>
    <w:p>
      <w:pPr>
        <w:numPr>
          <w:ilvl w:val="0"/>
          <w:numId w:val="15"/>
        </w:numPr>
        <w:spacing w:after="100" w:line="264" w:lineRule="auto"/>
        <w:ind w:left="540" w:hanging="270"/>
      </w:pPr>
      <w:r>
        <w:rPr>
          <w:rFonts w:ascii="Calibri" w:hAnsi="Calibri"/>
          <w:color w:val="17212B"/>
          <w:sz w:val="22"/>
        </w:rPr>
        <w:t>Begin partner sourcing against §15.1 in week one, in parallel with evaluation-agreement and inventory work; revisit the vertical and screen if none clears within 12 weeks.</w:t>
      </w:r>
    </w:p>
    <w:p>
      <w:pPr>
        <w:numPr>
          <w:ilvl w:val="0"/>
          <w:numId w:val="15"/>
        </w:numPr>
        <w:spacing w:after="100" w:line="264" w:lineRule="auto"/>
        <w:ind w:left="540" w:hanging="270"/>
      </w:pPr>
      <w:r>
        <w:rPr>
          <w:rFonts w:ascii="Calibri" w:hAnsi="Calibri"/>
          <w:color w:val="17212B"/>
          <w:sz w:val="22"/>
        </w:rPr>
        <w:t>Execute partner inventory: schemas, volumes, process latencies, network, dbt, policy, the unchanged identity screen, and proposed declared reconciliation scope before cohort signature.</w:t>
      </w:r>
    </w:p>
    <w:p>
      <w:pPr>
        <w:numPr>
          <w:ilvl w:val="0"/>
          <w:numId w:val="15"/>
        </w:numPr>
        <w:spacing w:after="100" w:line="264" w:lineRule="auto"/>
        <w:ind w:left="540" w:hanging="270"/>
      </w:pPr>
      <w:r>
        <w:rPr>
          <w:rFonts w:ascii="Calibri" w:hAnsi="Calibri"/>
          <w:color w:val="17212B"/>
          <w:sz w:val="22"/>
        </w:rPr>
        <w:t>Build the golden story fixture from at least one partner's actual object/table shapes, key coverage, volume, change rate, and observed process timings; sanitize values but not semantics.</w:t>
      </w:r>
    </w:p>
    <w:p>
      <w:pPr>
        <w:numPr>
          <w:ilvl w:val="0"/>
          <w:numId w:val="15"/>
        </w:numPr>
        <w:spacing w:after="100" w:line="264" w:lineRule="auto"/>
        <w:ind w:left="540" w:hanging="270"/>
      </w:pPr>
      <w:r>
        <w:rPr>
          <w:rFonts w:ascii="Calibri" w:hAnsi="Calibri"/>
          <w:color w:val="17212B"/>
          <w:sz w:val="22"/>
        </w:rPr>
        <w:t>Initiate connected-app registration and security review with both partners' Salesforce administrators at project start.</w:t>
      </w:r>
    </w:p>
    <w:p>
      <w:pPr>
        <w:numPr>
          <w:ilvl w:val="0"/>
          <w:numId w:val="15"/>
        </w:numPr>
        <w:spacing w:after="100" w:line="264" w:lineRule="auto"/>
        <w:ind w:left="540" w:hanging="270"/>
      </w:pPr>
      <w:r>
        <w:rPr>
          <w:rFonts w:ascii="Calibri" w:hAnsi="Calibri"/>
          <w:color w:val="17212B"/>
          <w:sz w:val="22"/>
        </w:rPr>
        <w:t>Freeze M0 to one PostgreSQL order row, one Snowflake relation, one desktop-authored contract, and one traced live transaction; do not front-load the complete bundle.</w:t>
      </w:r>
    </w:p>
    <w:p>
      <w:pPr>
        <w:numPr>
          <w:ilvl w:val="0"/>
          <w:numId w:val="15"/>
        </w:numPr>
        <w:spacing w:after="100" w:line="264" w:lineRule="auto"/>
        <w:ind w:left="540" w:hanging="270"/>
      </w:pPr>
      <w:r>
        <w:rPr>
          <w:rFonts w:ascii="Calibri" w:hAnsi="Calibri"/>
          <w:color w:val="17212B"/>
          <w:sz w:val="22"/>
        </w:rPr>
        <w:t>Write bundle history, activation digest, data-product generation, exception evidence, and legality-decision specifications before implementing the conversational flow.</w:t>
      </w:r>
    </w:p>
    <w:p>
      <w:pPr>
        <w:numPr>
          <w:ilvl w:val="0"/>
          <w:numId w:val="15"/>
        </w:numPr>
        <w:spacing w:after="100" w:line="264" w:lineRule="auto"/>
        <w:ind w:left="540" w:hanging="270"/>
      </w:pPr>
      <w:r>
        <w:rPr>
          <w:rFonts w:ascii="Calibri" w:hAnsi="Calibri"/>
          <w:color w:val="17212B"/>
          <w:sz w:val="22"/>
        </w:rPr>
        <w:t>Run Snowflake ambiguous-commit and PostgreSQL snapshot/LSN experiments; promote results into provider declarations.</w:t>
      </w:r>
    </w:p>
    <w:p>
      <w:pPr>
        <w:numPr>
          <w:ilvl w:val="0"/>
          <w:numId w:val="15"/>
        </w:numPr>
        <w:spacing w:after="100" w:line="264" w:lineRule="auto"/>
        <w:ind w:left="540" w:hanging="270"/>
      </w:pPr>
      <w:r>
        <w:rPr>
          <w:rFonts w:ascii="Calibri" w:hAnsi="Calibri"/>
          <w:color w:val="17212B"/>
          <w:sz w:val="22"/>
        </w:rPr>
        <w:t>Prove dedicated partner-owned dbt job invocation and actual-source-generation verification without modifying finance SQL.</w:t>
      </w:r>
    </w:p>
    <w:p>
      <w:pPr>
        <w:numPr>
          <w:ilvl w:val="0"/>
          <w:numId w:val="15"/>
        </w:numPr>
        <w:spacing w:after="100" w:line="264" w:lineRule="auto"/>
        <w:ind w:left="540" w:hanging="270"/>
      </w:pPr>
      <w:r>
        <w:rPr>
          <w:rFonts w:ascii="Calibri" w:hAnsi="Calibri"/>
          <w:color w:val="17212B"/>
          <w:sz w:val="22"/>
        </w:rPr>
        <w:t>Define provider conformance fixtures, Salesforce semantic cases, lifecycle-rule cases, L01 proof obligations, and one rule-table-miss No Valid Plan case.</w:t>
      </w:r>
    </w:p>
    <w:p>
      <w:pPr>
        <w:numPr>
          <w:ilvl w:val="0"/>
          <w:numId w:val="15"/>
        </w:numPr>
        <w:spacing w:after="100" w:line="264" w:lineRule="auto"/>
        <w:ind w:left="540" w:hanging="270"/>
      </w:pPr>
      <w:r>
        <w:rPr>
          <w:rFonts w:ascii="Calibri" w:hAnsi="Calibri"/>
          <w:color w:val="17212B"/>
          <w:sz w:val="22"/>
        </w:rPr>
        <w:t>Instrument bytes, rows, partitions, checkpoints, dbt runs, reconciliation clocks and dispositions, context denials, provider calls, human interventions, and monthly unit economics from M0.</w:t>
      </w:r>
    </w:p>
    <w:p>
      <w:pPr>
        <w:numPr>
          <w:ilvl w:val="0"/>
          <w:numId w:val="15"/>
        </w:numPr>
        <w:spacing w:after="100" w:line="264" w:lineRule="auto"/>
        <w:ind w:left="540" w:hanging="270"/>
      </w:pPr>
      <w:r>
        <w:rPr>
          <w:rFonts w:ascii="Calibri" w:hAnsi="Calibri"/>
          <w:color w:val="17212B"/>
          <w:sz w:val="22"/>
        </w:rPr>
        <w:t>Review fresh M0 evidence at six weeks and fund story authoring only if artifact boundaries remain intact.</w:t>
      </w:r>
    </w:p>
    <w:p>
      <w:pPr>
        <w:spacing w:before="80" w:after="160" w:line="259" w:lineRule="auto"/>
        <w:ind w:left="173" w:right="115"/>
        <w:shd w:fill="EAF1F6"/>
        <w:pBdr>
          <w:left w:val="single" w:sz="18" w:space="8" w:color="2E6E9E"/>
        </w:pBdr>
      </w:pPr>
      <w:r>
        <w:rPr>
          <w:rFonts w:ascii="Calibri" w:hAnsi="Calibri"/>
          <w:b/>
          <w:color w:val="173A5E"/>
          <w:sz w:val="21"/>
        </w:rPr>
        <w:t xml:space="preserve">First funding decision: </w:t>
      </w:r>
      <w:r>
        <w:rPr>
          <w:rFonts w:ascii="Calibri" w:hAnsi="Calibri"/>
          <w:color w:val="17212B"/>
          <w:sz w:val="21"/>
        </w:rPr>
        <w:t>Approve Phase 0 only. The next decision is based on a fresh PostgreSQL-to-Snowflake transaction whose contract, graph, input boundary, destination receipt, and evidence can be independently traced.</w:t>
      </w:r>
    </w:p>
    <w:p>
      <w:r>
        <w:br w:type="page"/>
      </w:r>
    </w:p>
    <w:p>
      <w:pPr>
        <w:pStyle w:val="Heading1"/>
      </w:pPr>
      <w:r>
        <w:t>References</w:t>
      </w:r>
    </w:p>
    <w:p>
      <w:pPr>
        <w:numPr>
          <w:ilvl w:val="0"/>
          <w:numId w:val="10"/>
        </w:numPr>
        <w:spacing w:after="100" w:line="264" w:lineRule="auto"/>
        <w:ind w:left="540" w:hanging="270"/>
      </w:pPr>
      <w:r>
        <w:rPr>
          <w:rFonts w:ascii="Calibri" w:hAnsi="Calibri"/>
          <w:color w:val="17212B"/>
          <w:sz w:val="22"/>
        </w:rPr>
        <w:t>Enterprise Data Compiler, Foundational Architecture Specification v0.3, August 2026.</w:t>
      </w:r>
    </w:p>
    <w:p>
      <w:pPr>
        <w:numPr>
          <w:ilvl w:val="0"/>
          <w:numId w:val="10"/>
        </w:numPr>
        <w:spacing w:after="100" w:line="264" w:lineRule="auto"/>
        <w:ind w:left="540" w:hanging="270"/>
      </w:pPr>
      <w:r>
        <w:rPr>
          <w:rFonts w:ascii="Calibri" w:hAnsi="Calibri"/>
          <w:color w:val="17212B"/>
          <w:sz w:val="22"/>
        </w:rPr>
        <w:t>Apache Spark. RDD Programming Guide. https://spark.apache.org/docs/latest/rdd-programming-guide.html</w:t>
      </w:r>
    </w:p>
    <w:p>
      <w:pPr>
        <w:numPr>
          <w:ilvl w:val="0"/>
          <w:numId w:val="10"/>
        </w:numPr>
        <w:spacing w:after="100" w:line="264" w:lineRule="auto"/>
        <w:ind w:left="540" w:hanging="270"/>
      </w:pPr>
      <w:r>
        <w:rPr>
          <w:rFonts w:ascii="Calibri" w:hAnsi="Calibri"/>
          <w:color w:val="17212B"/>
          <w:sz w:val="22"/>
        </w:rPr>
        <w:t>Apache Kafka. Design and Delivery Semantics. https://kafka.apache.org/documentation/#semantics</w:t>
      </w:r>
    </w:p>
    <w:p>
      <w:pPr>
        <w:numPr>
          <w:ilvl w:val="0"/>
          <w:numId w:val="10"/>
        </w:numPr>
        <w:spacing w:after="100" w:line="264" w:lineRule="auto"/>
        <w:ind w:left="540" w:hanging="270"/>
      </w:pPr>
      <w:r>
        <w:rPr>
          <w:rFonts w:ascii="Calibri" w:hAnsi="Calibri"/>
          <w:color w:val="17212B"/>
          <w:sz w:val="22"/>
        </w:rPr>
        <w:t>Fivetran. Architecture and deployment documentation. https://fivetran.com/docs/getting-started/architecture</w:t>
      </w:r>
    </w:p>
    <w:p>
      <w:pPr>
        <w:numPr>
          <w:ilvl w:val="0"/>
          <w:numId w:val="10"/>
        </w:numPr>
        <w:spacing w:after="100" w:line="264" w:lineRule="auto"/>
        <w:ind w:left="540" w:hanging="270"/>
      </w:pPr>
      <w:r>
        <w:rPr>
          <w:rFonts w:ascii="Calibri" w:hAnsi="Calibri"/>
          <w:color w:val="17212B"/>
          <w:sz w:val="22"/>
        </w:rPr>
        <w:t>Fivetran. Salesforce connector documentation. https://fivetran.com/docs/connectors/applications/salesforce</w:t>
      </w:r>
    </w:p>
    <w:p>
      <w:pPr>
        <w:numPr>
          <w:ilvl w:val="0"/>
          <w:numId w:val="10"/>
        </w:numPr>
        <w:spacing w:after="100" w:line="264" w:lineRule="auto"/>
        <w:ind w:left="540" w:hanging="270"/>
      </w:pPr>
      <w:r>
        <w:rPr>
          <w:rFonts w:ascii="Calibri" w:hAnsi="Calibri"/>
          <w:color w:val="17212B"/>
          <w:sz w:val="22"/>
        </w:rPr>
        <w:t>Salesforce. Accessing Object Data with Salesforce Platform APIs. https://developer.salesforce.com/blogs/2024/04/accessing-object-data-with-salesforce-platform-apis</w:t>
      </w:r>
    </w:p>
    <w:p>
      <w:pPr>
        <w:numPr>
          <w:ilvl w:val="0"/>
          <w:numId w:val="10"/>
        </w:numPr>
        <w:spacing w:after="100" w:line="264" w:lineRule="auto"/>
        <w:ind w:left="540" w:hanging="270"/>
      </w:pPr>
      <w:r>
        <w:rPr>
          <w:rFonts w:ascii="Calibri" w:hAnsi="Calibri"/>
          <w:color w:val="17212B"/>
          <w:sz w:val="22"/>
        </w:rPr>
        <w:t>Airbyte. Connector catalog and connector development documentation. https://docs.airbyte.com/integrations/</w:t>
      </w:r>
    </w:p>
    <w:p>
      <w:pPr>
        <w:numPr>
          <w:ilvl w:val="0"/>
          <w:numId w:val="10"/>
        </w:numPr>
        <w:spacing w:after="100" w:line="264" w:lineRule="auto"/>
        <w:ind w:left="540" w:hanging="270"/>
      </w:pPr>
      <w:r>
        <w:rPr>
          <w:rFonts w:ascii="Calibri" w:hAnsi="Calibri"/>
          <w:color w:val="17212B"/>
          <w:sz w:val="22"/>
        </w:rPr>
        <w:t>SnapLogic. Designer documentation. https://docs.snaplogic.com/designer/designer.html</w:t>
      </w:r>
    </w:p>
    <w:p>
      <w:pPr>
        <w:numPr>
          <w:ilvl w:val="0"/>
          <w:numId w:val="10"/>
        </w:numPr>
        <w:spacing w:after="100" w:line="264" w:lineRule="auto"/>
        <w:ind w:left="540" w:hanging="270"/>
      </w:pPr>
      <w:r>
        <w:rPr>
          <w:rFonts w:ascii="Calibri" w:hAnsi="Calibri"/>
          <w:color w:val="17212B"/>
          <w:sz w:val="22"/>
        </w:rPr>
        <w:t>Informatica. MDM Customer 360 overview. https://docs.informatica.com/master-data-management/customer-360/10-5/installation-and-configuration-guide/introduction-to-informatica-mdm---customer-360/overview-of-informatica-mdm---customer-360.html</w:t>
      </w:r>
    </w:p>
    <w:p>
      <w:pPr>
        <w:numPr>
          <w:ilvl w:val="0"/>
          <w:numId w:val="10"/>
        </w:numPr>
        <w:spacing w:after="100" w:line="264" w:lineRule="auto"/>
        <w:ind w:left="540" w:hanging="270"/>
      </w:pPr>
      <w:r>
        <w:rPr>
          <w:rFonts w:ascii="Calibri" w:hAnsi="Calibri"/>
          <w:color w:val="17212B"/>
          <w:sz w:val="22"/>
        </w:rPr>
        <w:t>MuleSoft. Mule Runtime Engine overview and API-led connectivity. https://docs.mulesoft.com/mule-runtime/4.6/</w:t>
      </w:r>
    </w:p>
    <w:p>
      <w:pPr>
        <w:numPr>
          <w:ilvl w:val="0"/>
          <w:numId w:val="10"/>
        </w:numPr>
        <w:spacing w:after="100" w:line="264" w:lineRule="auto"/>
        <w:ind w:left="540" w:hanging="270"/>
      </w:pPr>
      <w:r>
        <w:rPr>
          <w:rFonts w:ascii="Calibri" w:hAnsi="Calibri"/>
          <w:color w:val="17212B"/>
          <w:sz w:val="22"/>
        </w:rPr>
        <w:t>Model Context Protocol. Architecture. https://modelcontextprotocol.io/docs/learn/architecture</w:t>
      </w:r>
    </w:p>
    <w:p>
      <w:pPr>
        <w:numPr>
          <w:ilvl w:val="0"/>
          <w:numId w:val="10"/>
        </w:numPr>
        <w:spacing w:after="100" w:line="264" w:lineRule="auto"/>
        <w:ind w:left="540" w:hanging="270"/>
      </w:pPr>
      <w:r>
        <w:rPr>
          <w:rFonts w:ascii="Calibri" w:hAnsi="Calibri"/>
          <w:color w:val="17212B"/>
          <w:sz w:val="22"/>
        </w:rPr>
        <w:t>OpenAI. Codex MCP documentation. https://developers.openai.com/codex/mcp/</w:t>
      </w:r>
    </w:p>
    <w:p>
      <w:pPr>
        <w:numPr>
          <w:ilvl w:val="0"/>
          <w:numId w:val="10"/>
        </w:numPr>
        <w:spacing w:after="100" w:line="264" w:lineRule="auto"/>
        <w:ind w:left="540" w:hanging="270"/>
      </w:pPr>
      <w:r>
        <w:rPr>
          <w:rFonts w:ascii="Calibri" w:hAnsi="Calibri"/>
          <w:color w:val="17212B"/>
          <w:sz w:val="22"/>
        </w:rPr>
        <w:t>Anthropic. Claude MCP documentation. https://docs.anthropic.com/en/docs/claude-code/mcp</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17C"/>
        <w:sz w:val="18"/>
      </w:rPr>
      <w:t xml:space="preserve">Page </w:t>
    </w:r>
    <w:r>
      <w:fldChar w:fldCharType="begin"/>
    </w:r>
    <w:r>
      <w:instrText xml:space="preserve"> PAGE </w:instrText>
    </w:r>
    <w:r>
      <w:fldChar w:fldCharType="separate"/>
    </w:r>
    <w:r>
      <w:rPr>
        <w:rFonts w:ascii="Calibri" w:hAnsi="Calibri"/>
        <w:color w:val="66717C"/>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Calibri" w:hAnsi="Calibri"/>
        <w:color w:val="66717C"/>
        <w:sz w:val="17"/>
      </w:rPr>
      <w:t>Enterprise Data Compiler</w:t>
      <w:tab/>
      <w:t>MVP Implementation Plan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ind w:left="540" w:hanging="270"/>
      </w:pPr>
    </w:lvl>
  </w:abstractNum>
  <w:num w:numId="10">
    <w:abstractNumId w:val="9"/>
  </w:num>
  <w:abstractNum w:abstractNumId="10">
    <w:multiLevelType w:val="singleLevel"/>
    <w:lvl w:ilvl="0">
      <w:start w:val="1"/>
      <w:numFmt w:val="decimal"/>
      <w:lvlText w:val="%1."/>
      <w:pPr>
        <w:ind w:left="540" w:hanging="270"/>
      </w:pPr>
    </w:lvl>
  </w:abstractNum>
  <w:num w:numId="11">
    <w:abstractNumId w:val="10"/>
  </w:num>
  <w:abstractNum w:abstractNumId="11">
    <w:multiLevelType w:val="singleLevel"/>
    <w:lvl w:ilvl="0">
      <w:start w:val="1"/>
      <w:numFmt w:val="decimal"/>
      <w:lvlText w:val="%1."/>
      <w:pPr>
        <w:ind w:left="540" w:hanging="270"/>
      </w:pPr>
    </w:lvl>
  </w:abstractNum>
  <w:num w:numId="12">
    <w:abstractNumId w:val="11"/>
  </w:num>
  <w:abstractNum w:abstractNumId="12">
    <w:multiLevelType w:val="singleLevel"/>
    <w:lvl w:ilvl="0">
      <w:start w:val="1"/>
      <w:numFmt w:val="decimal"/>
      <w:lvlText w:val="%1."/>
      <w:pPr>
        <w:ind w:left="540" w:hanging="270"/>
      </w:pPr>
    </w:lvl>
  </w:abstractNum>
  <w:num w:numId="13">
    <w:abstractNumId w:val="12"/>
  </w:num>
  <w:abstractNum w:abstractNumId="13">
    <w:multiLevelType w:val="singleLevel"/>
    <w:lvl w:ilvl="0">
      <w:start w:val="1"/>
      <w:numFmt w:val="decimal"/>
      <w:lvlText w:val="%1."/>
      <w:pPr>
        <w:ind w:left="540" w:hanging="270"/>
      </w:pPr>
    </w:lvl>
  </w:abstractNum>
  <w:num w:numId="14">
    <w:abstractNumId w:val="13"/>
  </w:num>
  <w:abstractNum w:abstractNumId="14">
    <w:multiLevelType w:val="singleLevel"/>
    <w:lvl w:ilvl="0">
      <w:start w:val="1"/>
      <w:numFmt w:val="decimal"/>
      <w:lvlText w:val="%1."/>
      <w:pPr>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6E9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E9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40"/>
    </w:pPr>
    <w:rPr>
      <w:rFonts w:ascii="Calibri" w:hAnsi="Calibri"/>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 Title"/>
    <w:pPr>
      <w:spacing w:after="200"/>
    </w:pPr>
    <w:rPr>
      <w:rFonts w:ascii="Calibri" w:hAnsi="Calibri"/>
      <w:b/>
      <w:color w:val="173A5E"/>
      <w:sz w:val="4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Compiler: MVP Implementation Plan</dc:title>
  <dc:subject>Revenue-to-Cash first-production-cohort implementation plan</dc:subject>
  <dc:creator>Architecture Working Draft</dc:creator>
  <cp:keywords>enterprise data compiler, revenue to cash, MCP, Codex, Claude, PostgreSQL, Salesforce, Snowflake, dbt, reliability</cp:keywords>
  <dc:description>generated by python-docx</dc:description>
  <cp:lastModifiedBy/>
  <cp:revision>1</cp:revision>
  <dcterms:created xsi:type="dcterms:W3CDTF">2013-12-23T23:15:00Z</dcterms:created>
  <dcterms:modified xsi:type="dcterms:W3CDTF">2013-12-23T23:15:00Z</dcterms:modified>
  <cp:category/>
</cp:coreProperties>
</file>