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0cfc55032233881e12db8c87feb103680553d7c"/>
      <w:r>
        <w:rPr/>
        <w:t>Guía 002: Recorrido (Arquitectura y Flujo de Trabajo)</w:t>
      </w:r>
      <w:bookmarkEnd w:id="0"/>
    </w:p>
    <w:p>
      <w:pPr>
        <w:pStyle w:val="Heading2"/>
        <w:rPr/>
      </w:pPr>
      <w:bookmarkStart w:id="1" w:name="resumen"/>
      <w:r>
        <w:rPr/>
        <w:t>Resumen</w:t>
      </w:r>
      <w:bookmarkEnd w:id="1"/>
    </w:p>
    <w:p>
      <w:pPr>
        <w:pStyle w:val="FirstParagraph"/>
        <w:rPr/>
      </w:pPr>
      <w:r>
        <w:rPr/>
        <w:t xml:space="preserve">Este documento sirve como la Guía del Ciclo de Vida Arquitectónico Versión 2.0 para el </w:t>
      </w:r>
      <w:r>
        <w:rPr>
          <w:b/>
        </w:rPr>
        <w:t>Sistema de Data Lake con IA (Tools IADATA)</w:t>
      </w:r>
      <w:r>
        <w:rPr/>
        <w:t>. Resuelve las inquietudes iniciales de desarrollo y establece el estándar para la instalación, configuración y operación.</w:t>
      </w:r>
    </w:p>
    <w:p>
      <w:pPr>
        <w:pStyle w:val="Heading2"/>
        <w:rPr/>
      </w:pPr>
      <w:bookmarkStart w:id="2" w:name="X1866fb30ba42dbda55af9730635059ba7fd060c"/>
      <w:r>
        <w:rPr/>
        <w:t>Fase 1: Configuración Pre-Composición (Lado del Host)</w:t>
      </w:r>
      <w:bookmarkEnd w:id="2"/>
    </w:p>
    <w:p>
      <w:pPr>
        <w:pStyle w:val="BlockText"/>
        <w:rPr/>
      </w:pPr>
      <w:r>
        <w:rPr>
          <w:b/>
        </w:rPr>
        <w:t>Decisión Arquitectónica</w:t>
      </w:r>
      <w:r>
        <w:rPr/>
        <w:t xml:space="preserve">: Para manejar el mapeo de rutas del host y la inyección de variables de entorno </w:t>
      </w:r>
      <w:r>
        <w:rPr>
          <w:i/>
        </w:rPr>
        <w:t>antes</w:t>
      </w:r>
      <w:r>
        <w:rPr/>
        <w:t xml:space="preserve"> de que inicien los contenedores, utilizamos un script “Pre-vuelo” (Pre-flight). Esto es crítico porque los mapeos de volúmenes de Docker Compose no pueden alterarse dinámicamente después del inicio sin un reinicio.</w:t>
      </w:r>
    </w:p>
    <w:p>
      <w:pPr>
        <w:pStyle w:val="Heading3"/>
        <w:rPr/>
      </w:pPr>
      <w:bookmarkStart w:id="3" w:name="verificación-previa-pre-flight-handshake"/>
      <w:r>
        <w:rPr/>
        <w:t>1.1 Verificación Previa (Pre-flight Handshake)</w:t>
      </w:r>
      <w:bookmarkEnd w:id="3"/>
    </w:p>
    <w:p>
      <w:pPr>
        <w:pStyle w:val="FirstParagraph"/>
        <w:rPr/>
      </w:pPr>
      <w:r>
        <w:rPr/>
        <w:t xml:space="preserve">Antes de ejecutar </w:t>
      </w:r>
      <w:r>
        <w:rPr>
          <w:rStyle w:val="VerbatimChar"/>
        </w:rPr>
        <w:t>docker compose up</w:t>
      </w:r>
      <w:r>
        <w:rPr/>
        <w:t xml:space="preserve">, el script </w:t>
      </w:r>
      <w:r>
        <w:rPr>
          <w:rStyle w:val="VerbatimChar"/>
        </w:rPr>
        <w:t>bin/start.sh</w:t>
      </w:r>
      <w:r>
        <w:rPr/>
        <w:t xml:space="preserve"> actúa como el “Asistente Pre-vuelo”.</w:t>
      </w:r>
    </w:p>
    <w:p>
      <w:pPr>
        <w:pStyle w:val="Compact"/>
        <w:numPr>
          <w:ilvl w:val="0"/>
          <w:numId w:val="11"/>
        </w:numPr>
        <w:rPr/>
      </w:pPr>
      <w:r>
        <w:rPr>
          <w:b/>
        </w:rPr>
        <w:t>Verificación de Configuración</w:t>
      </w:r>
      <w:r>
        <w:rPr/>
        <w:t>:</w:t>
      </w:r>
    </w:p>
    <w:p>
      <w:pPr>
        <w:pStyle w:val="Compact"/>
        <w:numPr>
          <w:ilvl w:val="1"/>
          <w:numId w:val="2"/>
        </w:numPr>
        <w:rPr/>
      </w:pPr>
      <w:r>
        <w:rPr/>
        <w:t xml:space="preserve">El script busca el archivo </w:t>
      </w:r>
      <w:r>
        <w:rPr>
          <w:rStyle w:val="VerbatimChar"/>
        </w:rPr>
        <w:t>.env</w:t>
      </w:r>
      <w:r>
        <w:rPr/>
        <w:t>.</w:t>
      </w:r>
    </w:p>
    <w:p>
      <w:pPr>
        <w:pStyle w:val="Compact"/>
        <w:numPr>
          <w:ilvl w:val="1"/>
          <w:numId w:val="2"/>
        </w:numPr>
        <w:rPr/>
      </w:pPr>
      <w:r>
        <w:rPr/>
        <w:t xml:space="preserve">Busca valores centinela específicos (ej. variable </w:t>
      </w:r>
      <w:r>
        <w:rPr>
          <w:rStyle w:val="VerbatimChar"/>
        </w:rPr>
        <w:t>LOCAL_DATA_ROOT</w:t>
      </w:r>
      <w:r>
        <w:rPr/>
        <w:t xml:space="preserve"> o </w:t>
      </w:r>
      <w:r>
        <w:rPr>
          <w:rStyle w:val="VerbatimChar"/>
        </w:rPr>
        <w:t>SETUP_COMPLETED=true</w:t>
      </w:r>
      <w:r>
        <w:rPr/>
        <w:t>).</w:t>
      </w:r>
    </w:p>
    <w:p>
      <w:pPr>
        <w:pStyle w:val="Compact"/>
        <w:numPr>
          <w:ilvl w:val="1"/>
          <w:numId w:val="2"/>
        </w:numPr>
        <w:rPr/>
      </w:pPr>
      <w:r>
        <w:rPr>
          <w:b/>
        </w:rPr>
        <w:t>Resolución</w:t>
      </w:r>
      <w:r>
        <w:rPr/>
        <w:t xml:space="preserve">: Si existe una configuración válida, el script </w:t>
      </w:r>
      <w:r>
        <w:rPr>
          <w:b/>
        </w:rPr>
        <w:t>salta</w:t>
      </w:r>
      <w:r>
        <w:rPr/>
        <w:t xml:space="preserve"> a la Fase 2 (Composición Docker).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Asistente de Configuración Inicial (CLI)</w:t>
      </w:r>
      <w:r>
        <w:rPr/>
        <w:t>:</w:t>
      </w:r>
    </w:p>
    <w:p>
      <w:pPr>
        <w:pStyle w:val="Compact"/>
        <w:numPr>
          <w:ilvl w:val="1"/>
          <w:numId w:val="12"/>
        </w:numPr>
        <w:rPr/>
      </w:pPr>
      <w:r>
        <w:rPr/>
        <w:t>Si falta la configuración, el script interactúa con el usuario en la Terminal del Host:</w:t>
      </w:r>
    </w:p>
    <w:p>
      <w:pPr>
        <w:pStyle w:val="Compact"/>
        <w:numPr>
          <w:ilvl w:val="2"/>
          <w:numId w:val="13"/>
        </w:numPr>
        <w:rPr/>
      </w:pPr>
      <w:r>
        <w:rPr>
          <w:b/>
        </w:rPr>
        <w:t>Raíz de Datos del Host</w:t>
      </w:r>
      <w:r>
        <w:rPr/>
        <w:t xml:space="preserve">: Solicita al usuario una ruta de directorio en el HOST para servir como raíz de archivos locales (ej. </w:t>
      </w:r>
      <w:r>
        <w:rPr>
          <w:rStyle w:val="VerbatimChar"/>
        </w:rPr>
        <w:t>/home/user/mi_datalake</w:t>
      </w:r>
      <w:r>
        <w:rPr/>
        <w:t>).</w:t>
      </w:r>
    </w:p>
    <w:p>
      <w:pPr>
        <w:pStyle w:val="Compact"/>
        <w:numPr>
          <w:ilvl w:val="2"/>
          <w:numId w:val="14"/>
        </w:numPr>
        <w:rPr/>
      </w:pPr>
      <w:r>
        <w:rPr>
          <w:b/>
        </w:rPr>
        <w:t>Validación</w:t>
      </w:r>
      <w:r>
        <w:rPr/>
        <w:t xml:space="preserve">: El script verifica </w:t>
      </w:r>
      <w:r>
        <w:rPr>
          <w:rStyle w:val="VerbatimChar"/>
        </w:rPr>
        <w:t>[ -d "$INPUT_DIR" ]</w:t>
      </w:r>
      <w:r>
        <w:rPr/>
        <w:t>.</w:t>
      </w:r>
    </w:p>
    <w:p>
      <w:pPr>
        <w:pStyle w:val="Compact"/>
        <w:numPr>
          <w:ilvl w:val="2"/>
          <w:numId w:val="15"/>
        </w:numPr>
        <w:rPr/>
      </w:pPr>
      <w:r>
        <w:rPr>
          <w:b/>
        </w:rPr>
        <w:t>Escritura</w:t>
      </w:r>
      <w:r>
        <w:rPr/>
        <w:t xml:space="preserve">: Escribe </w:t>
      </w:r>
      <w:r>
        <w:rPr>
          <w:rStyle w:val="VerbatimChar"/>
        </w:rPr>
        <w:t>LOCAL_DATA_ROOT=/home/user/mi_datalake</w:t>
      </w:r>
      <w:r>
        <w:rPr/>
        <w:t xml:space="preserve"> en </w:t>
      </w:r>
      <w:r>
        <w:rPr>
          <w:rStyle w:val="VerbatimChar"/>
        </w:rPr>
        <w:t>.env</w:t>
      </w:r>
      <w:r>
        <w:rPr/>
        <w:t>.</w:t>
      </w:r>
    </w:p>
    <w:p>
      <w:pPr>
        <w:pStyle w:val="Compact"/>
        <w:numPr>
          <w:ilvl w:val="1"/>
          <w:numId w:val="16"/>
        </w:numPr>
        <w:rPr/>
      </w:pPr>
      <w:r>
        <w:rPr>
          <w:b/>
        </w:rPr>
        <w:t>Reconfiguración</w:t>
      </w:r>
      <w:r>
        <w:rPr/>
        <w:t xml:space="preserve">: Ejecute </w:t>
      </w:r>
      <w:r>
        <w:rPr>
          <w:rStyle w:val="VerbatimChar"/>
        </w:rPr>
        <w:t>bin/start.sh --configure</w:t>
      </w:r>
      <w:r>
        <w:rPr/>
        <w:t xml:space="preserve"> para sobrescribir estos ajustes.</w:t>
      </w:r>
    </w:p>
    <w:p>
      <w:pPr>
        <w:pStyle w:val="Heading3"/>
        <w:rPr/>
      </w:pPr>
      <w:bookmarkStart w:id="4" w:name="flujo-pre-composición"/>
      <w:r>
        <w:rPr/>
        <w:t>1.2 Flujo: Pre-Composición</w:t>
      </w:r>
      <w:bookmarkEnd w:id="4"/>
    </w:p>
    <w:p>
      <w:pPr>
        <w:pStyle w:val="CaptionedFigure"/>
        <w:rPr/>
      </w:pPr>
      <w:r>
        <w:rPr/>
        <w:drawing>
          <wp:inline distT="0" distB="0" distL="0" distR="0">
            <wp:extent cx="3563620" cy="7406640"/>
            <wp:effectExtent l="0" t="0" r="0" b="0"/>
            <wp:docPr id="1" name="Picture" descr="Flujo Pre-Composi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Flujo Pre-Composició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62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Flujo Pre-Composición</w:t>
      </w:r>
    </w:p>
    <w:p>
      <w:pPr>
        <w:pStyle w:val="Heading2"/>
        <w:rPr/>
      </w:pPr>
      <w:bookmarkStart w:id="5" w:name="Xb3bb27984fbef8d53577526b9032f84ce8da155"/>
      <w:r>
        <w:rPr/>
        <w:t>Fase 2: Configuración Post-Composición (Aplicación)</w:t>
      </w:r>
      <w:bookmarkEnd w:id="5"/>
    </w:p>
    <w:p>
      <w:pPr>
        <w:pStyle w:val="Heading3"/>
        <w:rPr/>
      </w:pPr>
      <w:bookmarkStart w:id="6" w:name="inicialización-del-sistema"/>
      <w:r>
        <w:rPr/>
        <w:t>2.1 Inicialización del Sistema</w:t>
      </w:r>
      <w:bookmarkEnd w:id="6"/>
    </w:p>
    <w:p>
      <w:pPr>
        <w:pStyle w:val="FirstParagraph"/>
        <w:rPr/>
      </w:pPr>
      <w:r>
        <w:rPr/>
        <w:t xml:space="preserve">Una vez que los contenedores están arriba, </w:t>
      </w:r>
      <w:r>
        <w:rPr>
          <w:rStyle w:val="VerbatimChar"/>
        </w:rPr>
        <w:t>front-dl</w:t>
      </w:r>
      <w:r>
        <w:rPr/>
        <w:t xml:space="preserve"> (Next.js) se convierte en la interfaz principal.</w:t>
      </w:r>
    </w:p>
    <w:p>
      <w:pPr>
        <w:pStyle w:val="Compact"/>
        <w:numPr>
          <w:ilvl w:val="0"/>
          <w:numId w:val="17"/>
        </w:numPr>
        <w:rPr/>
      </w:pPr>
      <w:r>
        <w:rPr>
          <w:b/>
        </w:rPr>
        <w:t>Verificación de Dependencias</w:t>
      </w:r>
      <w:r>
        <w:rPr/>
        <w:t>: El Backend verifica la conectividad con Keycloak, Postgres y Qdrant.</w:t>
      </w:r>
    </w:p>
    <w:p>
      <w:pPr>
        <w:pStyle w:val="Compact"/>
        <w:numPr>
          <w:ilvl w:val="0"/>
          <w:numId w:val="18"/>
        </w:numPr>
        <w:rPr/>
      </w:pPr>
      <w:r>
        <w:rPr>
          <w:b/>
        </w:rPr>
        <w:t xml:space="preserve">Arranque de Keycloak </w:t>
      </w:r>
      <w:r>
        <w:rPr>
          <w:b/>
        </w:rPr>
        <w:t>(sistema centralizado de administración de usuarios)</w:t>
      </w:r>
      <w:r>
        <w:rPr/>
        <w:t>:</w:t>
      </w:r>
    </w:p>
    <w:p>
      <w:pPr>
        <w:pStyle w:val="Compact"/>
        <w:numPr>
          <w:ilvl w:val="1"/>
          <w:numId w:val="19"/>
        </w:numPr>
        <w:rPr/>
      </w:pPr>
      <w:r>
        <w:rPr>
          <w:b/>
        </w:rPr>
        <w:t>Roles</w:t>
      </w:r>
      <w:r>
        <w:rPr/>
        <w:t>: El sistema asegura que Keycloak tenga los siguientes Roles de Realm:</w:t>
      </w:r>
    </w:p>
    <w:p>
      <w:pPr>
        <w:pStyle w:val="Compact"/>
        <w:numPr>
          <w:ilvl w:val="2"/>
          <w:numId w:val="20"/>
        </w:numPr>
        <w:rPr/>
      </w:pPr>
      <w:r>
        <w:rPr>
          <w:rStyle w:val="VerbatimChar"/>
        </w:rPr>
        <w:t>app-owner</w:t>
      </w:r>
      <w:r>
        <w:rPr/>
        <w:t>: Puede gestionar ajustes del sistema y crear entornos.</w:t>
      </w:r>
    </w:p>
    <w:p>
      <w:pPr>
        <w:pStyle w:val="Compact"/>
        <w:numPr>
          <w:ilvl w:val="2"/>
          <w:numId w:val="21"/>
        </w:numPr>
        <w:rPr/>
      </w:pPr>
      <w:r>
        <w:rPr>
          <w:rStyle w:val="VerbatimChar"/>
        </w:rPr>
        <w:t>app-admin</w:t>
      </w:r>
      <w:r>
        <w:rPr/>
        <w:t>: Puede gestionar usuarios y compartir entornos.</w:t>
      </w:r>
    </w:p>
    <w:p>
      <w:pPr>
        <w:pStyle w:val="Compact"/>
        <w:numPr>
          <w:ilvl w:val="2"/>
          <w:numId w:val="22"/>
        </w:numPr>
        <w:rPr/>
      </w:pPr>
      <w:r>
        <w:rPr>
          <w:rStyle w:val="VerbatimChar"/>
        </w:rPr>
        <w:t>app-user</w:t>
      </w:r>
      <w:r>
        <w:rPr/>
        <w:t>: Puede usar interfaces de chat.</w:t>
      </w:r>
    </w:p>
    <w:p>
      <w:pPr>
        <w:pStyle w:val="Compact"/>
        <w:numPr>
          <w:ilvl w:val="1"/>
          <w:numId w:val="23"/>
        </w:numPr>
        <w:rPr/>
      </w:pPr>
      <w:r>
        <w:rPr>
          <w:b/>
        </w:rPr>
        <w:t>Resolución</w:t>
      </w:r>
      <w:r>
        <w:rPr/>
        <w:t>: Keycloak es la Fuente Única de Verdad para la identidad. El Backend mapea estos roles JWT a permisos internos.</w:t>
      </w:r>
    </w:p>
    <w:p>
      <w:pPr>
        <w:pStyle w:val="Heading3"/>
        <w:rPr/>
      </w:pPr>
      <w:bookmarkStart w:id="7" w:name="X51d7ccb3cd460d469eb5251c5362b33dd5fa84d"/>
      <w:r>
        <w:rPr/>
        <w:t>2.2 Definición del Entorno (La Entidad Central)</w:t>
      </w:r>
      <w:bookmarkEnd w:id="7"/>
    </w:p>
    <w:p>
      <w:pPr>
        <w:pStyle w:val="FirstParagraph"/>
        <w:rPr/>
      </w:pPr>
      <w:r>
        <w:rPr/>
        <w:t xml:space="preserve">Un </w:t>
      </w:r>
      <w:r>
        <w:rPr>
          <w:b/>
        </w:rPr>
        <w:t>Entorno</w:t>
      </w:r>
      <w:r>
        <w:rPr/>
        <w:t xml:space="preserve"> es una entidad de base de datos (almacenada en Postgres) que encapsula un espacio de trabajo.</w:t>
      </w:r>
    </w:p>
    <w:p>
      <w:pPr>
        <w:pStyle w:val="Heading4"/>
        <w:rPr/>
      </w:pPr>
      <w:bookmarkStart w:id="8" w:name="a.-definición-de-fuentes"/>
      <w:r>
        <w:rPr/>
        <w:t>A. Definición de Fuentes</w:t>
      </w:r>
      <w:bookmarkEnd w:id="8"/>
    </w:p>
    <w:p>
      <w:pPr>
        <w:pStyle w:val="FirstParagraph"/>
        <w:rPr/>
      </w:pPr>
      <w:r>
        <w:rPr/>
        <w:t xml:space="preserve">Las fuentes se definen dentro de un Entorno. </w:t>
      </w:r>
    </w:p>
    <w:p>
      <w:pPr>
        <w:pStyle w:val="FirstParagraph"/>
        <w:rPr/>
      </w:pPr>
      <w:r>
        <w:rPr/>
        <w:t xml:space="preserve">- </w:t>
      </w:r>
      <w:r>
        <w:rPr>
          <w:b/>
        </w:rPr>
        <w:t>Directorio Local del Host</w:t>
      </w:r>
      <w:r>
        <w:rPr/>
        <w:t xml:space="preserve">: - </w:t>
      </w:r>
      <w:r>
        <w:rPr>
          <w:b/>
        </w:rPr>
        <w:t>Arquitectura</w:t>
      </w:r>
      <w:r>
        <w:rPr/>
        <w:t xml:space="preserve">: El contenedor monta la </w:t>
      </w:r>
      <w:r>
        <w:rPr>
          <w:rStyle w:val="VerbatimChar"/>
        </w:rPr>
        <w:t>LOCAL_DATA_ROOT</w:t>
      </w:r>
      <w:r>
        <w:rPr/>
        <w:t xml:space="preserve"> del HOST (de la Fase 1) en </w:t>
      </w:r>
      <w:r>
        <w:rPr>
          <w:rStyle w:val="VerbatimChar"/>
        </w:rPr>
        <w:t>/mnt/host_data</w:t>
      </w:r>
      <w:r>
        <w:rPr/>
        <w:t xml:space="preserve"> (Interno).</w:t>
      </w:r>
    </w:p>
    <w:p>
      <w:pPr>
        <w:pStyle w:val="FirstParagraph"/>
        <w:rPr/>
      </w:pPr>
      <w:r>
        <w:rPr/>
        <w:t xml:space="preserve">- </w:t>
      </w:r>
      <w:r>
        <w:rPr>
          <w:b/>
        </w:rPr>
        <w:t>Acción del Usuario</w:t>
      </w:r>
      <w:r>
        <w:rPr/>
        <w:t xml:space="preserve">: El usuario navega subcarpetas de </w:t>
      </w:r>
      <w:r>
        <w:rPr>
          <w:rStyle w:val="VerbatimChar"/>
        </w:rPr>
        <w:t>/mnt/host_data</w:t>
      </w:r>
      <w:r>
        <w:rPr/>
        <w:t xml:space="preserve"> a través de la UI.</w:t>
      </w:r>
    </w:p>
    <w:p>
      <w:pPr>
        <w:pStyle w:val="FirstParagraph"/>
        <w:rPr/>
      </w:pPr>
      <w:r>
        <w:rPr/>
        <w:t xml:space="preserve">- </w:t>
      </w:r>
      <w:r>
        <w:rPr>
          <w:b/>
        </w:rPr>
        <w:t>Validación</w:t>
      </w:r>
      <w:r>
        <w:rPr/>
        <w:t>: El Backend verifica acceso de lectura a la subcarpeta específica.</w:t>
      </w:r>
    </w:p>
    <w:p>
      <w:pPr>
        <w:pStyle w:val="FirstParagraph"/>
        <w:rPr/>
      </w:pPr>
      <w:r>
        <w:rPr/>
        <w:t xml:space="preserve">- </w:t>
      </w:r>
      <w:r>
        <w:rPr>
          <w:b/>
        </w:rPr>
        <w:t>Ubicación de Red</w:t>
      </w:r>
      <w:r>
        <w:rPr/>
        <w:t>: Montada similarmente o vía SMB/NFS dentro del contenedor.</w:t>
      </w:r>
    </w:p>
    <w:p>
      <w:pPr>
        <w:pStyle w:val="FirstParagraph"/>
        <w:rPr/>
      </w:pPr>
      <w:r>
        <w:rPr/>
        <w:t xml:space="preserve">- </w:t>
      </w:r>
      <w:r>
        <w:rPr>
          <w:b/>
        </w:rPr>
        <w:t>APIs en la Nube</w:t>
      </w:r>
      <w:r>
        <w:rPr/>
        <w:t>: Google Drive / SharePoint.</w:t>
      </w:r>
    </w:p>
    <w:p>
      <w:pPr>
        <w:pStyle w:val="FirstParagraph"/>
        <w:rPr/>
      </w:pPr>
      <w:r>
        <w:rPr/>
        <w:t xml:space="preserve">- </w:t>
      </w:r>
      <w:r>
        <w:rPr>
          <w:b/>
        </w:rPr>
        <w:t>Auth</w:t>
      </w:r>
      <w:r>
        <w:rPr/>
        <w:t>: El usuario proporciona tokens OAuth o Claves de Cuenta de Servicio vía la UI.</w:t>
      </w:r>
    </w:p>
    <w:p>
      <w:pPr>
        <w:pStyle w:val="FirstParagraph"/>
        <w:rPr/>
      </w:pPr>
      <w:r>
        <w:rPr/>
        <w:t xml:space="preserve">- </w:t>
      </w:r>
      <w:r>
        <w:rPr>
          <w:b/>
        </w:rPr>
        <w:t>Validación</w:t>
      </w:r>
      <w:r>
        <w:rPr/>
        <w:t xml:space="preserve">: El Backend llama a la API </w:t>
      </w:r>
      <w:r>
        <w:rPr>
          <w:rStyle w:val="VerbatimChar"/>
        </w:rPr>
        <w:t>files.list</w:t>
      </w:r>
      <w:r>
        <w:rPr/>
        <w:t xml:space="preserve"> para probar conectividad.</w:t>
      </w:r>
    </w:p>
    <w:p>
      <w:pPr>
        <w:pStyle w:val="Heading4"/>
        <w:rPr/>
      </w:pPr>
      <w:bookmarkStart w:id="9" w:name="X579ccfa5543e3390948a948a5f51131bc2d0a8e"/>
      <w:r>
        <w:rPr/>
        <w:t>B. Estrategia de LLM y Embedding (Resolución)</w:t>
      </w:r>
      <w:bookmarkEnd w:id="9"/>
    </w:p>
    <w:p>
      <w:pPr>
        <w:pStyle w:val="FirstParagraph"/>
        <w:rPr/>
      </w:pPr>
      <w:r>
        <w:rPr/>
        <w:t>Para manejar escenarios “Sin Qdrant” o “Híbridos”:</w:t>
      </w:r>
    </w:p>
    <w:p>
      <w:pPr>
        <w:pStyle w:val="Compact"/>
        <w:numPr>
          <w:ilvl w:val="0"/>
          <w:numId w:val="24"/>
        </w:numPr>
        <w:rPr/>
      </w:pPr>
      <w:r>
        <w:rPr>
          <w:b/>
        </w:rPr>
        <w:t>Modelos de Chat</w:t>
      </w:r>
      <w:r>
        <w:rPr/>
        <w:t>: Usados para razonamiento (GPT-4, Gemini).</w:t>
      </w:r>
    </w:p>
    <w:p>
      <w:pPr>
        <w:pStyle w:val="Compact"/>
        <w:numPr>
          <w:ilvl w:val="0"/>
          <w:numId w:val="25"/>
        </w:numPr>
        <w:rPr/>
      </w:pPr>
      <w:r>
        <w:rPr>
          <w:b/>
        </w:rPr>
        <w:t>Modelos de Embedding</w:t>
      </w:r>
      <w:r>
        <w:rPr/>
        <w:t xml:space="preserve">: Usados para vectorización (Local </w:t>
      </w:r>
      <w:r>
        <w:rPr>
          <w:rStyle w:val="VerbatimChar"/>
        </w:rPr>
        <w:t>BAAI/bge-m3</w:t>
      </w:r>
      <w:r>
        <w:rPr/>
        <w:t xml:space="preserve"> o OpenAI </w:t>
      </w:r>
      <w:r>
        <w:rPr>
          <w:rStyle w:val="VerbatimChar"/>
        </w:rPr>
        <w:t>text-embedding-3-small</w:t>
      </w:r>
      <w:r>
        <w:rPr/>
        <w:t>).</w:t>
      </w:r>
    </w:p>
    <w:p>
      <w:pPr>
        <w:pStyle w:val="Compact"/>
        <w:numPr>
          <w:ilvl w:val="0"/>
          <w:numId w:val="26"/>
        </w:numPr>
        <w:rPr/>
      </w:pPr>
      <w:r>
        <w:rPr>
          <w:b/>
        </w:rPr>
        <w:t>Pipeline de Ingesta</w:t>
      </w:r>
      <w:r>
        <w:rPr/>
        <w:t>:</w:t>
      </w:r>
    </w:p>
    <w:p>
      <w:pPr>
        <w:pStyle w:val="Compact"/>
        <w:numPr>
          <w:ilvl w:val="1"/>
          <w:numId w:val="27"/>
        </w:numPr>
        <w:rPr/>
      </w:pPr>
      <w:r>
        <w:rPr>
          <w:b/>
        </w:rPr>
        <w:t>Con Qdrant (Estándar)</w:t>
      </w:r>
      <w:r>
        <w:rPr/>
        <w:t xml:space="preserve">: </w:t>
      </w:r>
      <w:r>
        <w:rPr>
          <w:rStyle w:val="VerbatimChar"/>
        </w:rPr>
        <w:t>Fuente -&gt; Fragmentación -&gt; Modelo Embedding -&gt; Vector -&gt; Qdrant (Índices)</w:t>
      </w:r>
    </w:p>
    <w:p>
      <w:pPr>
        <w:pStyle w:val="Compact"/>
        <w:numPr>
          <w:ilvl w:val="1"/>
          <w:numId w:val="28"/>
        </w:numPr>
        <w:rPr/>
      </w:pPr>
      <w:r>
        <w:rPr>
          <w:b/>
        </w:rPr>
        <w:t>Sin Qdrant (Análisis Directo)</w:t>
      </w:r>
      <w:r>
        <w:rPr/>
        <w:t xml:space="preserve">: </w:t>
      </w:r>
      <w:r>
        <w:rPr>
          <w:rStyle w:val="VerbatimChar"/>
        </w:rPr>
        <w:t>Fuente -&gt; Extracción de Texto -&gt; Inyección en Ventana de Contexto -&gt; Modelo Chat</w:t>
      </w:r>
    </w:p>
    <w:p>
      <w:pPr>
        <w:pStyle w:val="Heading3"/>
        <w:rPr/>
      </w:pPr>
      <w:bookmarkStart w:id="10" w:name="flujo-configuración-nivel-aplicación"/>
      <w:r>
        <w:rPr/>
        <w:t>2.3 Flujo: Configuración (Nivel Aplicación)</w:t>
      </w:r>
      <w:bookmarkEnd w:id="10"/>
    </w:p>
    <w:p>
      <w:pPr>
        <w:pStyle w:val="CaptionedFigure"/>
        <w:rPr/>
      </w:pPr>
      <w:r>
        <w:rPr/>
        <w:drawing>
          <wp:inline distT="0" distB="0" distL="0" distR="0">
            <wp:extent cx="4023360" cy="7406640"/>
            <wp:effectExtent l="0" t="0" r="0" b="0"/>
            <wp:docPr id="2" name="Image2" descr="Flujo Configu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lujo Configuració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Flujo Configuración</w:t>
      </w:r>
    </w:p>
    <w:p>
      <w:pPr>
        <w:pStyle w:val="Heading3"/>
        <w:rPr/>
      </w:pPr>
      <w:bookmarkStart w:id="11" w:name="flujo-aplicación-flujo-de-usuario"/>
      <w:r>
        <w:rPr/>
        <w:t>2.4 Flujo: Aplicación (Flujo de Usuario)</w:t>
      </w:r>
      <w:bookmarkEnd w:id="11"/>
    </w:p>
    <w:p>
      <w:pPr>
        <w:pStyle w:val="CaptionedFigure"/>
        <w:rPr/>
      </w:pPr>
      <w:r>
        <w:rPr/>
        <w:drawing>
          <wp:inline distT="0" distB="0" distL="0" distR="0">
            <wp:extent cx="4161790" cy="7406640"/>
            <wp:effectExtent l="0" t="0" r="0" b="0"/>
            <wp:docPr id="3" name="Image3" descr="Flujo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lujo Aplicació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9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Flujo Aplicación</w:t>
      </w:r>
    </w:p>
    <w:p>
      <w:pPr>
        <w:pStyle w:val="Heading3"/>
        <w:rPr/>
      </w:pPr>
      <w:bookmarkStart w:id="12" w:name="flujo-qdrant-vs-consulta-directa"/>
      <w:r>
        <w:rPr/>
        <w:t>2.5 Flujo: Qdrant vs Consulta Directa</w:t>
      </w:r>
      <w:bookmarkEnd w:id="12"/>
    </w:p>
    <w:p>
      <w:pPr>
        <w:pStyle w:val="CaptionedFigure"/>
        <w:rPr/>
      </w:pPr>
      <w:r>
        <w:rPr/>
        <w:drawing>
          <wp:inline distT="0" distB="0" distL="0" distR="0">
            <wp:extent cx="5334000" cy="4762500"/>
            <wp:effectExtent l="0" t="0" r="0" b="0"/>
            <wp:docPr id="4" name="Image4" descr="Flujo Q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Flujo Qdran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Flujo Qdrant</w:t>
      </w:r>
    </w:p>
    <w:p>
      <w:pPr>
        <w:pStyle w:val="Heading2"/>
        <w:rPr/>
      </w:pPr>
      <w:bookmarkStart w:id="13" w:name="fase-3-uso-y-roles"/>
      <w:r>
        <w:rPr/>
        <w:t>Fase 3: Uso y Roles</w:t>
      </w:r>
      <w:bookmarkEnd w:id="13"/>
    </w:p>
    <w:p>
      <w:pPr>
        <w:pStyle w:val="Heading3"/>
        <w:rPr/>
      </w:pPr>
      <w:bookmarkStart w:id="14" w:name="capacidades-de-roles"/>
      <w:r>
        <w:rPr/>
        <w:t>3.1 Capacidades de Roles</w:t>
      </w:r>
      <w:bookmarkEnd w:id="14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339"/>
        <w:gridCol w:w="2340"/>
        <w:gridCol w:w="2340"/>
        <w:gridCol w:w="2340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Fase 1 (Host)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Fase 2 (Config)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Fase 3 (Chat)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SysAdmin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Ejecuta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setup.sh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define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DATA_ROOT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App Owner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 Entornos, Conecta Nubes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Acceso Total Chat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App Admin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Invita Usuarios, Asigna Roles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Acceso Total Chat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App User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Selecciona Entorno compartido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Solo Chat</w:t>
            </w:r>
          </w:p>
        </w:tc>
      </w:tr>
    </w:tbl>
    <w:p>
      <w:pPr>
        <w:pStyle w:val="Heading3"/>
        <w:rPr/>
      </w:pPr>
      <w:bookmarkStart w:id="15" w:name="manejo-sin-qdrant"/>
      <w:r>
        <w:rPr/>
        <w:t>3.2 Manejo “Sin Qdrant”</w:t>
      </w:r>
      <w:bookmarkEnd w:id="15"/>
    </w:p>
    <w:p>
      <w:pPr>
        <w:pStyle w:val="FirstParagraph"/>
        <w:rPr/>
      </w:pPr>
      <w:r>
        <w:rPr/>
        <w:t xml:space="preserve">Si un usuario selecciona un Entorno con “Análisis Directo” (Sin Qdrant): </w:t>
      </w:r>
    </w:p>
    <w:p>
      <w:pPr>
        <w:pStyle w:val="FirstParagraph"/>
        <w:rPr/>
      </w:pPr>
      <w:r>
        <w:rPr/>
        <w:t xml:space="preserve">1. </w:t>
      </w:r>
      <w:r>
        <w:rPr>
          <w:b/>
        </w:rPr>
        <w:t>Restricciones</w:t>
      </w:r>
      <w:r>
        <w:rPr/>
        <w:t>: La UI limita estrictamente la selección de tamaño de archivo (ej. &lt; 10MB total) para prevenir desbordamiento de la Ventana de Contexto.</w:t>
      </w:r>
    </w:p>
    <w:p>
      <w:pPr>
        <w:pStyle w:val="FirstParagraph"/>
        <w:spacing w:before="180" w:after="180"/>
        <w:rPr/>
      </w:pPr>
      <w:r>
        <w:rPr/>
        <w:t xml:space="preserve">2. </w:t>
      </w:r>
      <w:r>
        <w:rPr>
          <w:b/>
        </w:rPr>
        <w:t>Proceso</w:t>
      </w:r>
      <w:r>
        <w:rPr/>
        <w:t>: - El Backend lee el contenido del archivo en RAM. - El Backend trunca el contenido para ajustar a la Ventana de Contexto del LLM (ej. 128k tokens). - El Backend inyecta un prompt de sistema estricto: “Responde basado ÚNICAMENTE en el siguiente contexto…”.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1"/>
    <w:lvlOverride w:ilvl="0">
      <w:startOverride w:val="1"/>
    </w:lvlOverride>
  </w:num>
  <w:num w:numId="25">
    <w:abstractNumId w:val="1"/>
  </w:num>
  <w:num w:numId="26">
    <w:abstractNumId w:val="1"/>
  </w:num>
  <w:num w:numId="27">
    <w:abstractNumId w:val="2"/>
  </w:num>
  <w:num w:numId="28">
    <w:abstractNumId w:val="2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LibreOffice/7.3.7.2$Linux_X86_64 LibreOffice_project/30$Build-2</Application>
  <AppVersion>15.0000</AppVersion>
  <Pages>8</Pages>
  <Words>713</Words>
  <Characters>3997</Characters>
  <CharactersWithSpaces>4610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2026-01-18T03:47:42Z</dcterms:created>
  <dc:creator/>
  <dc:description/>
  <dc:language>en-US</dc:language>
  <cp:lastModifiedBy/>
  <dcterms:modified xsi:type="dcterms:W3CDTF">2026-01-17T21:53:12Z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