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t_base_o</w:t>
      </w:r>
      <w:r>
        <w:t>perato</w:t>
      </w:r>
      <w:r>
        <w:rPr>
          <w:rFonts w:hint="eastAsia"/>
        </w:rPr>
        <w:t>r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t_base_province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t_base_city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t_base_mobile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r>
              <w:rPr>
                <w:rFonts w:hint="eastAsia"/>
              </w:rPr>
              <w:t>Varchar(11)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t_sys_user</w:t>
      </w:r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t_sys_role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t_sys_menu</w:t>
      </w:r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r>
              <w:rPr>
                <w:rFonts w:hint="eastAsia"/>
              </w:rPr>
              <w:t>varchar(128)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r>
              <w:rPr>
                <w:rFonts w:hint="eastAsia"/>
              </w:rPr>
              <w:t>Varchar(1)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t_sys_role_menu</w:t>
      </w:r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t_flow_provider</w:t>
      </w:r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t_flow_distributor</w:t>
      </w:r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 w14:paraId="4733843D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r>
              <w:t>Callback_url</w:t>
            </w:r>
          </w:p>
        </w:tc>
        <w:tc>
          <w:tcPr>
            <w:tcW w:w="1948" w:type="dxa"/>
          </w:tcPr>
          <w:p w14:paraId="0FBDBC57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 w14:paraId="3977FBD0" w14:textId="77777777" w:rsidR="00EE0E50" w:rsidRDefault="00D42294">
            <w:r>
              <w:rPr>
                <w:rFonts w:hint="eastAsia"/>
              </w:rPr>
              <w:t>Varchar(100)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r>
              <w:t>Ip</w:t>
            </w:r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</w:p>
        </w:tc>
        <w:tc>
          <w:tcPr>
            <w:tcW w:w="1948" w:type="dxa"/>
          </w:tcPr>
          <w:p w14:paraId="0541F803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</w:p>
        </w:tc>
        <w:tc>
          <w:tcPr>
            <w:tcW w:w="1948" w:type="dxa"/>
          </w:tcPr>
          <w:p w14:paraId="514D3865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</w:p>
        </w:tc>
        <w:tc>
          <w:tcPr>
            <w:tcW w:w="1948" w:type="dxa"/>
          </w:tcPr>
          <w:p w14:paraId="1EC4E8C4" w14:textId="77777777" w:rsidR="00D42294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t_flow_product</w:t>
      </w:r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r>
              <w:rPr>
                <w:rFonts w:hint="eastAsia"/>
              </w:rPr>
              <w:t>Varchar(64)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r>
              <w:t>int</w:t>
            </w:r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09C7D19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r>
              <w:rPr>
                <w:rFonts w:hint="eastAsia"/>
              </w:rPr>
              <w:t>Varchar(200)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t_flow_service</w:t>
      </w:r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6DFBE89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r>
              <w:t>Father_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19455324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71E6B0E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 w14:paraId="32F96DB1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t_flow_serv_prod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t_flow_order</w:t>
      </w:r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r>
              <w:rPr>
                <w:rFonts w:hint="eastAsia"/>
              </w:rPr>
              <w:t>Varchar(16)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r>
              <w:t>real_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415" w:type="dxa"/>
          </w:tcPr>
          <w:p w14:paraId="23C56C0E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r>
              <w:t>Int</w:t>
            </w:r>
          </w:p>
        </w:tc>
        <w:tc>
          <w:tcPr>
            <w:tcW w:w="2733" w:type="dxa"/>
          </w:tcPr>
          <w:p w14:paraId="09E8A095" w14:textId="77777777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：充值失败）</w:t>
            </w:r>
          </w:p>
        </w:tc>
      </w:tr>
      <w:tr w:rsidR="0046306F" w14:paraId="4E89E7D7" w14:textId="77777777">
        <w:tc>
          <w:tcPr>
            <w:tcW w:w="3142" w:type="dxa"/>
          </w:tcPr>
          <w:p w14:paraId="1CF1BCC1" w14:textId="602C7617" w:rsidR="0046306F" w:rsidRDefault="002F3235">
            <w:r>
              <w:t>PLATFORM</w:t>
            </w:r>
            <w:r w:rsidR="00BB0E68">
              <w:t>_ERROR</w:t>
            </w:r>
            <w:bookmarkStart w:id="0" w:name="_GoBack"/>
            <w:bookmarkEnd w:id="0"/>
            <w:r>
              <w:t>_CODE</w:t>
            </w:r>
          </w:p>
        </w:tc>
        <w:tc>
          <w:tcPr>
            <w:tcW w:w="2415" w:type="dxa"/>
          </w:tcPr>
          <w:p w14:paraId="00E2E9F2" w14:textId="76D872F5" w:rsidR="0046306F" w:rsidRDefault="002F3235">
            <w:r>
              <w:rPr>
                <w:rFonts w:hint="eastAsia"/>
              </w:rPr>
              <w:t>Varchar(8)</w:t>
            </w:r>
          </w:p>
        </w:tc>
        <w:tc>
          <w:tcPr>
            <w:tcW w:w="2733" w:type="dxa"/>
          </w:tcPr>
          <w:p w14:paraId="1C359460" w14:textId="08CB502C" w:rsidR="0046306F" w:rsidRDefault="002F3235">
            <w:r>
              <w:t>平台错误码</w:t>
            </w:r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r>
              <w:t>datetime</w:t>
            </w:r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t_flow_cost_flow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r>
              <w:t>Order</w:t>
            </w:r>
            <w:r>
              <w:rPr>
                <w:rFonts w:hint="eastAsia"/>
              </w:rPr>
              <w:t>_CODE</w:t>
            </w:r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lastRenderedPageBreak/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r>
              <w:t>Current_balance</w:t>
            </w:r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7D666FED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t_flow_recharge_flow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r>
              <w:t>Distributor_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r>
              <w:t>Balance_after_recharge</w:t>
            </w:r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r>
              <w:t>jine</w:t>
            </w:r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 w14:paraId="2F68C951" w14:textId="77777777" w:rsidR="00EE0E50" w:rsidRDefault="00D42294">
            <w:r>
              <w:rPr>
                <w:rFonts w:hint="eastAsia"/>
              </w:rPr>
              <w:t>Datetime</w:t>
            </w:r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t_flow_refund_flow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r>
              <w:t>Distributor_Name</w:t>
            </w:r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r>
              <w:t>Provider_Name</w:t>
            </w:r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r>
              <w:t>Order_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r>
              <w:t>Product_name</w:t>
            </w:r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r>
              <w:t>Provider_is_refund</w:t>
            </w:r>
          </w:p>
        </w:tc>
        <w:tc>
          <w:tcPr>
            <w:tcW w:w="2763" w:type="dxa"/>
          </w:tcPr>
          <w:p w14:paraId="373DDAA8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r>
              <w:t>Creat_date</w:t>
            </w:r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2F3235"/>
    <w:rsid w:val="003A6212"/>
    <w:rsid w:val="003B1B61"/>
    <w:rsid w:val="003D0442"/>
    <w:rsid w:val="003F36E9"/>
    <w:rsid w:val="00420DFC"/>
    <w:rsid w:val="00424F6E"/>
    <w:rsid w:val="00451550"/>
    <w:rsid w:val="0046306F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16098"/>
    <w:rsid w:val="00BA4A3E"/>
    <w:rsid w:val="00BB0E68"/>
    <w:rsid w:val="00BC4D76"/>
    <w:rsid w:val="00BC5AA4"/>
    <w:rsid w:val="00BF7F06"/>
    <w:rsid w:val="00C00712"/>
    <w:rsid w:val="00C25242"/>
    <w:rsid w:val="00CE73C6"/>
    <w:rsid w:val="00D07648"/>
    <w:rsid w:val="00D27BC1"/>
    <w:rsid w:val="00D42294"/>
    <w:rsid w:val="00E14871"/>
    <w:rsid w:val="00EE0E50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6C12C-5B42-2A41-B377-6C7BF12B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29</cp:revision>
  <dcterms:created xsi:type="dcterms:W3CDTF">2016-07-03T07:39:00Z</dcterms:created>
  <dcterms:modified xsi:type="dcterms:W3CDTF">2016-08-10T14:14:00Z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