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3F5EA" w14:textId="4E3FE38C" w:rsidR="00126C8C" w:rsidRDefault="00C21C52" w:rsidP="00F52C27">
      <w:pPr>
        <w:pStyle w:val="Heading3"/>
      </w:pPr>
      <w:r>
        <w:t>Summer 2019</w:t>
      </w:r>
    </w:p>
    <w:p w14:paraId="1B9DD825" w14:textId="13E4931A" w:rsidR="00F52C27" w:rsidRDefault="00496638" w:rsidP="00F52C27">
      <w:pPr>
        <w:pStyle w:val="Heading1"/>
      </w:pPr>
      <w:r>
        <w:t>MATH 3350</w:t>
      </w:r>
      <w:r w:rsidR="00F52C27">
        <w:t>: Higher Mathematics</w:t>
      </w:r>
      <w:r>
        <w:t xml:space="preserve"> for Engineers and Scientists I</w:t>
      </w:r>
    </w:p>
    <w:p w14:paraId="40F1D317" w14:textId="7FB4ABED" w:rsidR="006D2A3A" w:rsidRPr="000514FD" w:rsidRDefault="006D2A3A" w:rsidP="000514FD">
      <w:pPr>
        <w:pStyle w:val="Heading3"/>
      </w:pPr>
      <w:r>
        <w:t xml:space="preserve">Location: </w:t>
      </w:r>
      <w:r w:rsidR="00496638">
        <w:t>Sevilla, Espa</w:t>
      </w:r>
      <w:r w:rsidR="00496638" w:rsidRPr="00496638">
        <w:t>ñ</w:t>
      </w:r>
      <w:r w:rsidR="00496638">
        <w:t>a</w:t>
      </w:r>
    </w:p>
    <w:p w14:paraId="6044201C" w14:textId="39501FCE" w:rsidR="00B25DE4" w:rsidRDefault="00F52C27" w:rsidP="000514FD">
      <w:pPr>
        <w:pStyle w:val="Heading3"/>
      </w:pPr>
      <w:r>
        <w:t>Professor: Dr. Aminur (Amin) Rahman; Office: Math 222</w:t>
      </w:r>
      <w:r w:rsidR="00B25DE4">
        <w:t>;</w:t>
      </w:r>
      <w:r w:rsidR="00636BCD">
        <w:t xml:space="preserve"> Email: amin.rahman@ttu.edu</w:t>
      </w:r>
    </w:p>
    <w:p w14:paraId="1179B785" w14:textId="69B1C694" w:rsidR="004C6C6B" w:rsidRDefault="004C6C6B" w:rsidP="000514FD">
      <w:pPr>
        <w:pStyle w:val="Heading3"/>
      </w:pPr>
      <w:r>
        <w:t xml:space="preserve">Office hours: </w:t>
      </w:r>
      <w:r w:rsidR="00496638">
        <w:t>TBD</w:t>
      </w:r>
      <w:r w:rsidR="00B25DE4">
        <w:t xml:space="preserve"> + by appointment</w:t>
      </w:r>
    </w:p>
    <w:p w14:paraId="05822603" w14:textId="77777777" w:rsidR="004C6C6B" w:rsidRDefault="004C6C6B" w:rsidP="00123C66"/>
    <w:p w14:paraId="039C9ACD" w14:textId="6E081654" w:rsidR="0098067D" w:rsidRDefault="0098067D" w:rsidP="00123C66">
      <w:r>
        <w:t>W</w:t>
      </w:r>
      <w:r w:rsidR="00123C66">
        <w:t>ebsite:</w:t>
      </w:r>
      <w:r w:rsidR="0015391A">
        <w:t xml:space="preserve"> </w:t>
      </w:r>
      <w:r w:rsidR="00123C66">
        <w:t xml:space="preserve"> </w:t>
      </w:r>
      <w:hyperlink r:id="rId5" w:history="1">
        <w:r w:rsidRPr="00313D4D">
          <w:rPr>
            <w:rStyle w:val="Hyperlink"/>
          </w:rPr>
          <w:t>http://myweb.ttu.edu/aminrahm/</w:t>
        </w:r>
      </w:hyperlink>
    </w:p>
    <w:p w14:paraId="4657433F" w14:textId="48FCCA94" w:rsidR="00123C66" w:rsidRDefault="00123C66" w:rsidP="00123C66">
      <w:r>
        <w:t xml:space="preserve">Prerequisites: Math </w:t>
      </w:r>
      <w:r w:rsidR="0098067D">
        <w:t>1452</w:t>
      </w:r>
    </w:p>
    <w:p w14:paraId="3B9D1678" w14:textId="23B9DA1F" w:rsidR="00123C66" w:rsidRDefault="00123C66" w:rsidP="00123C66">
      <w:r>
        <w:t>Textbook:  Advanced Engineering Mathematics, 6</w:t>
      </w:r>
      <w:r w:rsidRPr="00123C66">
        <w:rPr>
          <w:vertAlign w:val="superscript"/>
        </w:rPr>
        <w:t>th</w:t>
      </w:r>
      <w:r>
        <w:t xml:space="preserve"> ed.</w:t>
      </w:r>
    </w:p>
    <w:p w14:paraId="2BF1A869" w14:textId="77777777" w:rsidR="00123C66" w:rsidRDefault="00123C66" w:rsidP="00123C66"/>
    <w:p w14:paraId="070CC8E2" w14:textId="108342B9" w:rsidR="00123C66" w:rsidRDefault="00123C66" w:rsidP="00123C66">
      <w:pPr>
        <w:pStyle w:val="Heading1"/>
      </w:pPr>
      <w:r>
        <w:t>Tentative Schedule:</w:t>
      </w:r>
    </w:p>
    <w:tbl>
      <w:tblPr>
        <w:tblStyle w:val="TableGrid"/>
        <w:tblW w:w="0" w:type="auto"/>
        <w:tblLook w:val="04A0" w:firstRow="1" w:lastRow="0" w:firstColumn="1" w:lastColumn="0" w:noHBand="0" w:noVBand="1"/>
      </w:tblPr>
      <w:tblGrid>
        <w:gridCol w:w="985"/>
        <w:gridCol w:w="1260"/>
        <w:gridCol w:w="7105"/>
      </w:tblGrid>
      <w:tr w:rsidR="00676661" w14:paraId="7B720F80" w14:textId="77777777" w:rsidTr="000C0C4C">
        <w:tc>
          <w:tcPr>
            <w:tcW w:w="985" w:type="dxa"/>
          </w:tcPr>
          <w:p w14:paraId="23CAFAB1" w14:textId="15597CBE" w:rsidR="00123C66" w:rsidRDefault="00123C66" w:rsidP="00123C66"/>
        </w:tc>
        <w:tc>
          <w:tcPr>
            <w:tcW w:w="1260" w:type="dxa"/>
          </w:tcPr>
          <w:p w14:paraId="3D001BF6" w14:textId="0615469D" w:rsidR="00123C66" w:rsidRDefault="00F22735" w:rsidP="00123C66">
            <w:r>
              <w:t>Chapter</w:t>
            </w:r>
          </w:p>
        </w:tc>
        <w:tc>
          <w:tcPr>
            <w:tcW w:w="7105" w:type="dxa"/>
          </w:tcPr>
          <w:p w14:paraId="483D8708" w14:textId="0B0B7500" w:rsidR="00123C66" w:rsidRDefault="00F22735" w:rsidP="00123C66">
            <w:r>
              <w:t>Topics</w:t>
            </w:r>
          </w:p>
        </w:tc>
      </w:tr>
      <w:tr w:rsidR="00676661" w14:paraId="364B000B" w14:textId="77777777" w:rsidTr="000C0C4C">
        <w:tc>
          <w:tcPr>
            <w:tcW w:w="985" w:type="dxa"/>
          </w:tcPr>
          <w:p w14:paraId="61C99A48" w14:textId="3FCA65AE" w:rsidR="00123C66" w:rsidRDefault="00123C66" w:rsidP="00123C66">
            <w:r>
              <w:t>Week 1</w:t>
            </w:r>
          </w:p>
        </w:tc>
        <w:tc>
          <w:tcPr>
            <w:tcW w:w="1260" w:type="dxa"/>
          </w:tcPr>
          <w:p w14:paraId="0E30B4DE" w14:textId="0E0AF548" w:rsidR="00123C66" w:rsidRDefault="00F22735" w:rsidP="00123C66">
            <w:r>
              <w:t>1-2</w:t>
            </w:r>
          </w:p>
        </w:tc>
        <w:tc>
          <w:tcPr>
            <w:tcW w:w="7105" w:type="dxa"/>
          </w:tcPr>
          <w:p w14:paraId="7D977406" w14:textId="5570951C" w:rsidR="00123C66" w:rsidRDefault="00F22735" w:rsidP="00EB3564">
            <w:r>
              <w:t>Basics of ODEs and first order equations</w:t>
            </w:r>
          </w:p>
        </w:tc>
      </w:tr>
      <w:tr w:rsidR="00676661" w14:paraId="429D6DFD" w14:textId="77777777" w:rsidTr="000C0C4C">
        <w:trPr>
          <w:trHeight w:val="260"/>
        </w:trPr>
        <w:tc>
          <w:tcPr>
            <w:tcW w:w="985" w:type="dxa"/>
          </w:tcPr>
          <w:p w14:paraId="764D7531" w14:textId="1BAA781B" w:rsidR="00357C55" w:rsidRDefault="00357C55" w:rsidP="00123C66">
            <w:r>
              <w:t>Week 2</w:t>
            </w:r>
          </w:p>
        </w:tc>
        <w:tc>
          <w:tcPr>
            <w:tcW w:w="1260" w:type="dxa"/>
          </w:tcPr>
          <w:p w14:paraId="1495D8C8" w14:textId="39DC9624" w:rsidR="00123C66" w:rsidRDefault="00F22735" w:rsidP="00123C66">
            <w:r>
              <w:t>3</w:t>
            </w:r>
            <w:r w:rsidR="000C0C4C">
              <w:t>, Exam I</w:t>
            </w:r>
          </w:p>
        </w:tc>
        <w:tc>
          <w:tcPr>
            <w:tcW w:w="7105" w:type="dxa"/>
          </w:tcPr>
          <w:p w14:paraId="53AA2D6C" w14:textId="5807AB44" w:rsidR="00123C66" w:rsidRPr="00EC63BD" w:rsidRDefault="00F22735" w:rsidP="00123C66">
            <w:pPr>
              <w:rPr>
                <w:rFonts w:ascii="Times New Roman" w:eastAsia="Times New Roman" w:hAnsi="Times New Roman" w:cs="Times New Roman"/>
              </w:rPr>
            </w:pPr>
            <w:r>
              <w:rPr>
                <w:rFonts w:ascii="Times New Roman" w:eastAsia="Times New Roman" w:hAnsi="Times New Roman" w:cs="Times New Roman"/>
              </w:rPr>
              <w:t>Higher order equations</w:t>
            </w:r>
          </w:p>
        </w:tc>
      </w:tr>
      <w:tr w:rsidR="00676661" w14:paraId="6724003A" w14:textId="77777777" w:rsidTr="000C0C4C">
        <w:trPr>
          <w:trHeight w:val="260"/>
        </w:trPr>
        <w:tc>
          <w:tcPr>
            <w:tcW w:w="985" w:type="dxa"/>
          </w:tcPr>
          <w:p w14:paraId="65361BF9" w14:textId="0A1F445D" w:rsidR="00357C55" w:rsidRDefault="00357C55" w:rsidP="00123C66">
            <w:r>
              <w:t>Week 3</w:t>
            </w:r>
          </w:p>
        </w:tc>
        <w:tc>
          <w:tcPr>
            <w:tcW w:w="1260" w:type="dxa"/>
          </w:tcPr>
          <w:p w14:paraId="67DC117F" w14:textId="34ED8AFE" w:rsidR="00357C55" w:rsidRDefault="000C0C4C" w:rsidP="00123C66">
            <w:r>
              <w:t>3</w:t>
            </w:r>
            <w:r w:rsidR="0028754A">
              <w:t>-</w:t>
            </w:r>
            <w:bookmarkStart w:id="0" w:name="_GoBack"/>
            <w:bookmarkEnd w:id="0"/>
            <w:r w:rsidR="00F22735">
              <w:t>4</w:t>
            </w:r>
          </w:p>
        </w:tc>
        <w:tc>
          <w:tcPr>
            <w:tcW w:w="7105" w:type="dxa"/>
          </w:tcPr>
          <w:p w14:paraId="00982083" w14:textId="58FCF4A7" w:rsidR="00357C55" w:rsidRPr="003A4411" w:rsidRDefault="000C0C4C" w:rsidP="0041596A">
            <w:pPr>
              <w:rPr>
                <w:rFonts w:ascii="Times New Roman" w:eastAsia="Times New Roman" w:hAnsi="Times New Roman" w:cs="Times New Roman"/>
              </w:rPr>
            </w:pPr>
            <w:r>
              <w:rPr>
                <w:rFonts w:ascii="Times New Roman" w:eastAsia="Times New Roman" w:hAnsi="Times New Roman" w:cs="Times New Roman"/>
              </w:rPr>
              <w:t>Higher order equations and Laplace Transforms</w:t>
            </w:r>
          </w:p>
        </w:tc>
      </w:tr>
      <w:tr w:rsidR="00676661" w14:paraId="25E20066" w14:textId="77777777" w:rsidTr="000C0C4C">
        <w:trPr>
          <w:trHeight w:val="233"/>
        </w:trPr>
        <w:tc>
          <w:tcPr>
            <w:tcW w:w="985" w:type="dxa"/>
          </w:tcPr>
          <w:p w14:paraId="529EBBB3" w14:textId="2DD2DEB3" w:rsidR="00357C55" w:rsidRDefault="00357C55" w:rsidP="00123C66">
            <w:r>
              <w:t>Week 4</w:t>
            </w:r>
          </w:p>
        </w:tc>
        <w:tc>
          <w:tcPr>
            <w:tcW w:w="1260" w:type="dxa"/>
          </w:tcPr>
          <w:p w14:paraId="2E939BB8" w14:textId="45B674CC" w:rsidR="00357C55" w:rsidRDefault="000C0C4C" w:rsidP="0041596A">
            <w:r>
              <w:t>Exam II, 5</w:t>
            </w:r>
          </w:p>
        </w:tc>
        <w:tc>
          <w:tcPr>
            <w:tcW w:w="7105" w:type="dxa"/>
          </w:tcPr>
          <w:p w14:paraId="6FC9A594" w14:textId="5490C3C1" w:rsidR="00357C55" w:rsidRDefault="000C0C4C" w:rsidP="00123C66">
            <w:r>
              <w:t>Series solutions</w:t>
            </w:r>
          </w:p>
        </w:tc>
      </w:tr>
      <w:tr w:rsidR="00676661" w14:paraId="5215B098" w14:textId="77777777" w:rsidTr="000C0C4C">
        <w:trPr>
          <w:trHeight w:val="242"/>
        </w:trPr>
        <w:tc>
          <w:tcPr>
            <w:tcW w:w="985" w:type="dxa"/>
          </w:tcPr>
          <w:p w14:paraId="2ABE6000" w14:textId="256AEDC6" w:rsidR="00B74E84" w:rsidRDefault="00B74E84" w:rsidP="00123C66">
            <w:r>
              <w:t>Week 5</w:t>
            </w:r>
          </w:p>
        </w:tc>
        <w:tc>
          <w:tcPr>
            <w:tcW w:w="1260" w:type="dxa"/>
          </w:tcPr>
          <w:p w14:paraId="6475A349" w14:textId="03AB9DBD" w:rsidR="00B74E84" w:rsidRDefault="000C0C4C" w:rsidP="00123C66">
            <w:r>
              <w:t>Final Exam</w:t>
            </w:r>
          </w:p>
        </w:tc>
        <w:tc>
          <w:tcPr>
            <w:tcW w:w="7105" w:type="dxa"/>
          </w:tcPr>
          <w:p w14:paraId="100605B5" w14:textId="148843D2" w:rsidR="00B74E84" w:rsidRPr="00D2038C" w:rsidRDefault="00B74E84" w:rsidP="00123C66">
            <w:pPr>
              <w:rPr>
                <w:rFonts w:ascii="Times New Roman" w:eastAsia="Times New Roman" w:hAnsi="Times New Roman" w:cs="Times New Roman"/>
              </w:rPr>
            </w:pPr>
          </w:p>
        </w:tc>
      </w:tr>
    </w:tbl>
    <w:p w14:paraId="736BC245" w14:textId="77777777" w:rsidR="0096572E" w:rsidRPr="0096572E" w:rsidRDefault="0096572E" w:rsidP="00123C66"/>
    <w:p w14:paraId="30295E45" w14:textId="1BD9B75F" w:rsidR="003D2636" w:rsidRPr="003D2636" w:rsidRDefault="003D2636" w:rsidP="00123C66">
      <w:pPr>
        <w:rPr>
          <w:color w:val="000000" w:themeColor="text1"/>
        </w:rPr>
      </w:pPr>
      <w:r>
        <w:rPr>
          <w:color w:val="FF0000"/>
        </w:rPr>
        <w:t xml:space="preserve">Course Grade:  </w:t>
      </w:r>
      <w:r>
        <w:rPr>
          <w:color w:val="000000" w:themeColor="text1"/>
        </w:rPr>
        <w:t>Quizzes (5%), Homeworks (25%), Exam I (20%), Exam II (20%), Final Exam (30%)</w:t>
      </w:r>
    </w:p>
    <w:p w14:paraId="2F461689" w14:textId="0B810425" w:rsidR="003D2636" w:rsidRDefault="003D2636" w:rsidP="00123C66">
      <w:pPr>
        <w:rPr>
          <w:color w:val="000000" w:themeColor="text1"/>
        </w:rPr>
      </w:pPr>
      <w:r>
        <w:rPr>
          <w:color w:val="FF0000"/>
        </w:rPr>
        <w:t xml:space="preserve">Tentative Curve: </w:t>
      </w:r>
      <w:r w:rsidR="00955504">
        <w:rPr>
          <w:color w:val="FF0000"/>
        </w:rPr>
        <w:t xml:space="preserve"> </w:t>
      </w:r>
      <w:r w:rsidR="00955504">
        <w:rPr>
          <w:color w:val="000000" w:themeColor="text1"/>
        </w:rPr>
        <w:t xml:space="preserve">A: </w:t>
      </w:r>
      <w:r w:rsidR="008C1878">
        <w:rPr>
          <w:color w:val="000000" w:themeColor="text1"/>
        </w:rPr>
        <w:t xml:space="preserve">88 – 100, B: </w:t>
      </w:r>
      <w:r w:rsidR="004B6044">
        <w:rPr>
          <w:color w:val="000000" w:themeColor="text1"/>
        </w:rPr>
        <w:t xml:space="preserve">76 – 87, C: 63 – 75, D: 55 – 62, F: 0 </w:t>
      </w:r>
      <w:r w:rsidR="009F45E0">
        <w:rPr>
          <w:color w:val="000000" w:themeColor="text1"/>
        </w:rPr>
        <w:t>–</w:t>
      </w:r>
      <w:r w:rsidR="004B6044">
        <w:rPr>
          <w:color w:val="000000" w:themeColor="text1"/>
        </w:rPr>
        <w:t xml:space="preserve"> 54</w:t>
      </w:r>
    </w:p>
    <w:p w14:paraId="78A59FE1" w14:textId="77777777" w:rsidR="009F45E0" w:rsidRDefault="009F45E0" w:rsidP="00123C66">
      <w:pPr>
        <w:rPr>
          <w:color w:val="000000" w:themeColor="text1"/>
        </w:rPr>
      </w:pPr>
    </w:p>
    <w:p w14:paraId="5EB9CB5F" w14:textId="6199F796" w:rsidR="002E26BF" w:rsidRDefault="002E26BF" w:rsidP="002E26BF">
      <w:pPr>
        <w:rPr>
          <w:rFonts w:ascii="Times New Roman" w:eastAsia="Times New Roman" w:hAnsi="Times New Roman" w:cs="Times New Roman"/>
        </w:rPr>
      </w:pPr>
      <w:r w:rsidRPr="002E26BF">
        <w:rPr>
          <w:rFonts w:ascii="Times New Roman" w:eastAsia="Times New Roman" w:hAnsi="Times New Roman" w:cs="Times New Roman"/>
          <w:b/>
        </w:rPr>
        <w:t>Expected Learning Outcomes</w:t>
      </w:r>
      <w:r w:rsidRPr="002E26BF">
        <w:rPr>
          <w:rFonts w:ascii="Times New Roman" w:eastAsia="Times New Roman" w:hAnsi="Times New Roman" w:cs="Times New Roman"/>
        </w:rPr>
        <w:t xml:space="preserve">: </w:t>
      </w:r>
      <w:r w:rsidR="00885944">
        <w:rPr>
          <w:rFonts w:ascii="Times New Roman" w:eastAsia="Times New Roman" w:hAnsi="Times New Roman" w:cs="Times New Roman"/>
        </w:rPr>
        <w:t xml:space="preserve"> Students will be able to </w:t>
      </w:r>
      <w:r w:rsidR="00C21C52">
        <w:rPr>
          <w:rFonts w:ascii="Times New Roman" w:eastAsia="Times New Roman" w:hAnsi="Times New Roman" w:cs="Times New Roman"/>
        </w:rPr>
        <w:t>solve first and second order equations</w:t>
      </w:r>
      <w:r w:rsidR="00AB100F">
        <w:rPr>
          <w:rFonts w:ascii="Times New Roman" w:eastAsia="Times New Roman" w:hAnsi="Times New Roman" w:cs="Times New Roman"/>
        </w:rPr>
        <w:t xml:space="preserve">.  Students will </w:t>
      </w:r>
      <w:r w:rsidR="00C21C52">
        <w:rPr>
          <w:rFonts w:ascii="Times New Roman" w:eastAsia="Times New Roman" w:hAnsi="Times New Roman" w:cs="Times New Roman"/>
        </w:rPr>
        <w:t>solve certain nonlinear equations through transforms and series solutions.</w:t>
      </w:r>
      <w:r w:rsidR="006C7FC0">
        <w:rPr>
          <w:rFonts w:ascii="Times New Roman" w:eastAsia="Times New Roman" w:hAnsi="Times New Roman" w:cs="Times New Roman"/>
        </w:rPr>
        <w:t xml:space="preserve">  Furthermore, all of this will be done in the context of engineering and science applications.</w:t>
      </w:r>
    </w:p>
    <w:p w14:paraId="42D99034" w14:textId="77777777" w:rsidR="00885944" w:rsidRDefault="00885944" w:rsidP="002E26BF">
      <w:pPr>
        <w:rPr>
          <w:rFonts w:ascii="Times New Roman" w:eastAsia="Times New Roman" w:hAnsi="Times New Roman" w:cs="Times New Roman"/>
        </w:rPr>
      </w:pPr>
    </w:p>
    <w:p w14:paraId="16F8B80F" w14:textId="18BBF6FF" w:rsidR="002E26BF" w:rsidRPr="002E26BF" w:rsidRDefault="002E26BF" w:rsidP="002E26BF">
      <w:pPr>
        <w:rPr>
          <w:rFonts w:ascii="Times New Roman" w:eastAsia="Times New Roman" w:hAnsi="Times New Roman" w:cs="Times New Roman"/>
        </w:rPr>
      </w:pPr>
      <w:r w:rsidRPr="002E26BF">
        <w:rPr>
          <w:rFonts w:ascii="Times New Roman" w:eastAsia="Times New Roman" w:hAnsi="Times New Roman" w:cs="Times New Roman"/>
          <w:b/>
        </w:rPr>
        <w:t>Methods of Assessment of Learning Outcomes</w:t>
      </w:r>
      <w:r w:rsidRPr="002E26BF">
        <w:rPr>
          <w:rFonts w:ascii="Times New Roman" w:eastAsia="Times New Roman" w:hAnsi="Times New Roman" w:cs="Times New Roman"/>
        </w:rPr>
        <w:t>: Continuous assessment of the progress of the course occurs through ongoing communication between the instructor and the students. Students are encouraged to ask questions during class and to seek the instructor’s help outside of class when needed. Formal assessment occurs through exams, quizzes, homework, computer assignments, and attendance. See descriptions below.</w:t>
      </w:r>
    </w:p>
    <w:p w14:paraId="6F88C75F" w14:textId="77777777" w:rsidR="009F45E0" w:rsidRPr="00955504" w:rsidRDefault="009F45E0" w:rsidP="00123C66">
      <w:pPr>
        <w:rPr>
          <w:color w:val="000000" w:themeColor="text1"/>
        </w:rPr>
      </w:pPr>
    </w:p>
    <w:p w14:paraId="64204DF2" w14:textId="354CF9E6" w:rsidR="003905DB" w:rsidRDefault="00404D9D" w:rsidP="00404D9D">
      <w:pPr>
        <w:pStyle w:val="Heading1"/>
      </w:pPr>
      <w:r>
        <w:t>Other important information</w:t>
      </w:r>
    </w:p>
    <w:p w14:paraId="3071CDC5" w14:textId="77777777" w:rsidR="00404D9D" w:rsidRDefault="00404D9D" w:rsidP="00404D9D"/>
    <w:p w14:paraId="65E8F823" w14:textId="5D7A54F4" w:rsidR="00404D9D" w:rsidRPr="003D2636" w:rsidRDefault="00404D9D" w:rsidP="00404D9D">
      <w:pPr>
        <w:rPr>
          <w:color w:val="FF0000"/>
        </w:rPr>
      </w:pPr>
      <w:r w:rsidRPr="003D2636">
        <w:rPr>
          <w:color w:val="FF0000"/>
        </w:rPr>
        <w:t>Calculator Policy:  No calculators allowed on Quizzes or Exams</w:t>
      </w:r>
      <w:r w:rsidR="008B27D0">
        <w:rPr>
          <w:color w:val="FF0000"/>
        </w:rPr>
        <w:t>; permitted on homeworks.</w:t>
      </w:r>
    </w:p>
    <w:p w14:paraId="18EFC813" w14:textId="5B4C2820" w:rsidR="00404D9D" w:rsidRDefault="00404D9D" w:rsidP="00404D9D">
      <w:r>
        <w:t xml:space="preserve">Exams:  In certain special circumstances a makeup exam may be given after the student follows all university </w:t>
      </w:r>
      <w:r w:rsidR="003923C2">
        <w:t>protocol</w:t>
      </w:r>
      <w:r>
        <w:t>.</w:t>
      </w:r>
    </w:p>
    <w:p w14:paraId="22A9696E" w14:textId="797008BA" w:rsidR="00404D9D" w:rsidRDefault="00404D9D" w:rsidP="00404D9D">
      <w:r>
        <w:t>Quizzes:  Short quizzes will be given throughout the semester.</w:t>
      </w:r>
    </w:p>
    <w:p w14:paraId="6DEEB3AE" w14:textId="1452E174" w:rsidR="00404D9D" w:rsidRDefault="00404D9D" w:rsidP="00404D9D">
      <w:r>
        <w:t xml:space="preserve">Homeworks:  Assigned </w:t>
      </w:r>
      <w:r w:rsidR="00C21C52">
        <w:t>every two to three days</w:t>
      </w:r>
    </w:p>
    <w:p w14:paraId="16971134" w14:textId="61D65648" w:rsidR="003D2636" w:rsidRDefault="003D2636" w:rsidP="00404D9D">
      <w:r>
        <w:t>Programming:  You will be expected to write MATLAB programs for certain homeworks.</w:t>
      </w:r>
    </w:p>
    <w:p w14:paraId="2093D16F" w14:textId="52ABD99F" w:rsidR="003D2636" w:rsidRDefault="003D2636" w:rsidP="00404D9D">
      <w:r>
        <w:lastRenderedPageBreak/>
        <w:t>Attendance:  TTU considers attendance mandatory, and you may have no more than three unexcused absences during the semester, which I will enforce if your average</w:t>
      </w:r>
      <w:r w:rsidR="003923C2">
        <w:t xml:space="preserve"> falls</w:t>
      </w:r>
      <w:r>
        <w:t xml:space="preserve"> bellow a C.</w:t>
      </w:r>
    </w:p>
    <w:p w14:paraId="512C65B1" w14:textId="77777777" w:rsidR="003D2636" w:rsidRDefault="003D2636" w:rsidP="00404D9D"/>
    <w:p w14:paraId="340FFCD7" w14:textId="64638CEF" w:rsidR="006532E2" w:rsidRDefault="006532E2" w:rsidP="006532E2">
      <w:pPr>
        <w:pStyle w:val="Heading1"/>
      </w:pPr>
      <w:r>
        <w:t>Important dates and university policies</w:t>
      </w:r>
    </w:p>
    <w:p w14:paraId="5A229BF1" w14:textId="77777777" w:rsidR="006532E2" w:rsidRDefault="006532E2" w:rsidP="006532E2"/>
    <w:p w14:paraId="0DD3CC5E" w14:textId="66379861" w:rsidR="0024014C" w:rsidRDefault="0024014C" w:rsidP="006532E2">
      <w:pPr>
        <w:pStyle w:val="ListParagraph"/>
        <w:numPr>
          <w:ilvl w:val="0"/>
          <w:numId w:val="2"/>
        </w:numPr>
      </w:pPr>
      <w:r>
        <w:t>:  Labor Day – university closed</w:t>
      </w:r>
    </w:p>
    <w:p w14:paraId="0E323EDE" w14:textId="7DDDA6C3" w:rsidR="006532E2" w:rsidRDefault="0024014C" w:rsidP="006532E2">
      <w:pPr>
        <w:pStyle w:val="ListParagraph"/>
        <w:numPr>
          <w:ilvl w:val="0"/>
          <w:numId w:val="2"/>
        </w:numPr>
      </w:pPr>
      <w:r>
        <w:t>:  Last day for student initiated drop without academic penalty</w:t>
      </w:r>
    </w:p>
    <w:p w14:paraId="3A4F9ABE" w14:textId="3B538BC3" w:rsidR="0024014C" w:rsidRDefault="009901D2" w:rsidP="006532E2">
      <w:pPr>
        <w:pStyle w:val="ListParagraph"/>
        <w:numPr>
          <w:ilvl w:val="0"/>
          <w:numId w:val="2"/>
        </w:numPr>
      </w:pPr>
      <w:r>
        <w:t>:  Last day for student initiated drop with academic penalty</w:t>
      </w:r>
    </w:p>
    <w:p w14:paraId="2A33ACF5" w14:textId="0F259AAC" w:rsidR="009901D2" w:rsidRDefault="009901D2" w:rsidP="006532E2">
      <w:pPr>
        <w:pStyle w:val="ListParagraph"/>
        <w:numPr>
          <w:ilvl w:val="0"/>
          <w:numId w:val="2"/>
        </w:numPr>
      </w:pPr>
      <w:r>
        <w:t>:  Thanksgiving (No class Wednesday and Friday)</w:t>
      </w:r>
    </w:p>
    <w:p w14:paraId="371B3181" w14:textId="30AB825D" w:rsidR="009901D2" w:rsidRDefault="009901D2" w:rsidP="006532E2">
      <w:pPr>
        <w:pStyle w:val="ListParagraph"/>
        <w:numPr>
          <w:ilvl w:val="0"/>
          <w:numId w:val="2"/>
        </w:numPr>
      </w:pPr>
      <w:r>
        <w:t>: Last day of class</w:t>
      </w:r>
    </w:p>
    <w:p w14:paraId="7D76F2A7" w14:textId="20662CAB" w:rsidR="009901D2" w:rsidRPr="009901D2" w:rsidRDefault="009901D2" w:rsidP="009901D2">
      <w:pPr>
        <w:pStyle w:val="ListParagraph"/>
        <w:numPr>
          <w:ilvl w:val="0"/>
          <w:numId w:val="2"/>
        </w:numPr>
        <w:rPr>
          <w:rFonts w:ascii="Times New Roman" w:eastAsia="Times New Roman" w:hAnsi="Times New Roman" w:cs="Times New Roman"/>
        </w:rPr>
      </w:pPr>
      <w:r w:rsidRPr="009901D2">
        <w:rPr>
          <w:b/>
        </w:rPr>
        <w:t xml:space="preserve">Civility in the classroom: </w:t>
      </w:r>
      <w:r>
        <w:rPr>
          <w:b/>
        </w:rPr>
        <w:t xml:space="preserve"> </w:t>
      </w:r>
      <w:r w:rsidRPr="009901D2">
        <w:rPr>
          <w:rFonts w:ascii="Times New Roman" w:eastAsia="Times New Roman" w:hAnsi="Times New Roman" w:cs="Times New Roman"/>
        </w:rPr>
        <w:t>Texas Tech University is a community of faculty, students, and staff that enjoys an expectation of cooperation, professionalism, and civility during the conduct of all forms of university business, including the conduct of student–student and student–faculty interactions in and out of the classroom. The classroom is a setting in which an exchange of ideas and creative thinking are encouraged and where intellectual growth and development are fostered. Students who disrupt this classroom mission by rude, sarcastic, threatening, abusive or obscene language and/or behavior are subject to appropriate sanctions according to university policy.</w:t>
      </w:r>
    </w:p>
    <w:p w14:paraId="6A476A88" w14:textId="2FF9E22A" w:rsidR="009901D2" w:rsidRPr="009901D2" w:rsidRDefault="009901D2" w:rsidP="009901D2">
      <w:pPr>
        <w:pStyle w:val="ListParagraph"/>
        <w:numPr>
          <w:ilvl w:val="0"/>
          <w:numId w:val="2"/>
        </w:numPr>
        <w:rPr>
          <w:rFonts w:ascii="Times New Roman" w:eastAsia="Times New Roman" w:hAnsi="Times New Roman" w:cs="Times New Roman"/>
        </w:rPr>
      </w:pPr>
      <w:r w:rsidRPr="009901D2">
        <w:rPr>
          <w:b/>
        </w:rPr>
        <w:t xml:space="preserve">Academic integrity: </w:t>
      </w:r>
      <w:r>
        <w:rPr>
          <w:b/>
        </w:rPr>
        <w:t xml:space="preserve"> </w:t>
      </w:r>
      <w:r w:rsidRPr="009901D2">
        <w:rPr>
          <w:rFonts w:ascii="Times New Roman" w:eastAsia="Times New Roman" w:hAnsi="Times New Roman" w:cs="Times New Roman"/>
        </w:rPr>
        <w:t>It is the aim of the faculty of Texas Tech University to foster a spirit of complete honesty and high standard of integrity. The attempt of students to present as their own any work not honestly performed is regarded by the faculty and administration as a most serious offense and renders the offenders liable to serious consequences, possibly suspension. Scholastic dishonesty includes, but is not limited to, cheating, plagiarism, collusion, falsifying academic records, misrepresenting facts, and any act designed to give unfair academic advantage to the student (such as, but not limited to, submission of essentially the same written assignment for two courses without the prior permission of the instructor) or the attempt to commit such an act.</w:t>
      </w:r>
    </w:p>
    <w:p w14:paraId="5EFB3F73" w14:textId="77777777" w:rsidR="009901D2" w:rsidRPr="009901D2" w:rsidRDefault="009901D2" w:rsidP="009901D2">
      <w:pPr>
        <w:pStyle w:val="ListParagraph"/>
        <w:numPr>
          <w:ilvl w:val="0"/>
          <w:numId w:val="2"/>
        </w:numPr>
        <w:rPr>
          <w:rFonts w:ascii="Times New Roman" w:eastAsia="Times New Roman" w:hAnsi="Times New Roman" w:cs="Times New Roman"/>
        </w:rPr>
      </w:pPr>
      <w:r w:rsidRPr="009901D2">
        <w:rPr>
          <w:b/>
          <w:color w:val="000000" w:themeColor="text1"/>
        </w:rPr>
        <w:t xml:space="preserve">Observance of religious holy day:  </w:t>
      </w:r>
      <w:r w:rsidRPr="009901D2">
        <w:rPr>
          <w:rFonts w:ascii="Times New Roman" w:eastAsia="Times New Roman" w:hAnsi="Times New Roman" w:cs="Times New Roman"/>
        </w:rPr>
        <w:t>“Religious holy day” means a holy day observed by a religion whose places of worship are exempt from property taxation under Texas Tax Code 11.20. A student who intends to observe a religious holy day should make that intention known in writing to the instructor prior to the absence. A student who is absent from classes for the observance of a religious holy day shall be allowed to take an examination or complete an assignment scheduled for that day within a reasonable time after the absence. A student who is excused may not be penalized for the absence; however, the instructor may respond appropriately if the student fails to complete the assignment satisfactorily.</w:t>
      </w:r>
    </w:p>
    <w:p w14:paraId="55C90F16" w14:textId="1D54B109" w:rsidR="009901D2" w:rsidRPr="009901D2" w:rsidRDefault="009901D2" w:rsidP="009901D2">
      <w:pPr>
        <w:pStyle w:val="ListParagraph"/>
        <w:numPr>
          <w:ilvl w:val="0"/>
          <w:numId w:val="2"/>
        </w:numPr>
        <w:rPr>
          <w:rFonts w:ascii="Times New Roman" w:eastAsia="Times New Roman" w:hAnsi="Times New Roman" w:cs="Times New Roman"/>
        </w:rPr>
      </w:pPr>
      <w:r w:rsidRPr="009901D2">
        <w:rPr>
          <w:b/>
        </w:rPr>
        <w:t xml:space="preserve">Accommodation of students with disabilities:  </w:t>
      </w:r>
      <w:r w:rsidRPr="009901D2">
        <w:rPr>
          <w:rFonts w:ascii="Times New Roman" w:eastAsia="Times New Roman" w:hAnsi="Times New Roman" w:cs="Times New Roman"/>
        </w:rPr>
        <w:t>Any student who, because of a disability, may require special arrangements in order to meet the course requirements should contact the instructor as soon as possible to make any necessary arrangements. Students should present appropriate verification from Student Disability Services during the instructors office hours. Please note: instructors are not allowed to provide classroom accommodations to a student until appropriate verification from Student Disability Services has been provided. For additional information, please contact Student Disability Services in West Hall or call 806-742-2405.</w:t>
      </w:r>
    </w:p>
    <w:p w14:paraId="22ABE025" w14:textId="3B7EE1CA" w:rsidR="009901D2" w:rsidRPr="009901D2" w:rsidRDefault="009901D2" w:rsidP="009901D2">
      <w:pPr>
        <w:pStyle w:val="ListParagraph"/>
        <w:rPr>
          <w:rFonts w:ascii="Times New Roman" w:eastAsia="Times New Roman" w:hAnsi="Times New Roman" w:cs="Times New Roman"/>
        </w:rPr>
      </w:pPr>
    </w:p>
    <w:sectPr w:rsidR="009901D2" w:rsidRPr="009901D2" w:rsidSect="007F2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A24ECF"/>
    <w:multiLevelType w:val="hybridMultilevel"/>
    <w:tmpl w:val="AA2E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4394E"/>
    <w:multiLevelType w:val="hybridMultilevel"/>
    <w:tmpl w:val="61AA1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C27"/>
    <w:rsid w:val="00037065"/>
    <w:rsid w:val="000514FD"/>
    <w:rsid w:val="00055FBB"/>
    <w:rsid w:val="00067819"/>
    <w:rsid w:val="000A4164"/>
    <w:rsid w:val="000C0C4C"/>
    <w:rsid w:val="00123C66"/>
    <w:rsid w:val="00126C8C"/>
    <w:rsid w:val="0015391A"/>
    <w:rsid w:val="001A5DD5"/>
    <w:rsid w:val="0024014C"/>
    <w:rsid w:val="00274F42"/>
    <w:rsid w:val="0028754A"/>
    <w:rsid w:val="002914B6"/>
    <w:rsid w:val="002B34BD"/>
    <w:rsid w:val="002E26BF"/>
    <w:rsid w:val="002E4731"/>
    <w:rsid w:val="00316FC0"/>
    <w:rsid w:val="00357C55"/>
    <w:rsid w:val="003905DB"/>
    <w:rsid w:val="003923C2"/>
    <w:rsid w:val="003A2318"/>
    <w:rsid w:val="003A4411"/>
    <w:rsid w:val="003D2636"/>
    <w:rsid w:val="003D6180"/>
    <w:rsid w:val="00404D9D"/>
    <w:rsid w:val="0041596A"/>
    <w:rsid w:val="00475BEB"/>
    <w:rsid w:val="00496638"/>
    <w:rsid w:val="004B309A"/>
    <w:rsid w:val="004B6044"/>
    <w:rsid w:val="004C6C6B"/>
    <w:rsid w:val="00636BCD"/>
    <w:rsid w:val="006523C5"/>
    <w:rsid w:val="006532E2"/>
    <w:rsid w:val="00676661"/>
    <w:rsid w:val="006A09E8"/>
    <w:rsid w:val="006C5169"/>
    <w:rsid w:val="006C7FC0"/>
    <w:rsid w:val="006D2A3A"/>
    <w:rsid w:val="0078655F"/>
    <w:rsid w:val="007A776E"/>
    <w:rsid w:val="007D348A"/>
    <w:rsid w:val="007E2737"/>
    <w:rsid w:val="007F29BE"/>
    <w:rsid w:val="00885944"/>
    <w:rsid w:val="008B27D0"/>
    <w:rsid w:val="008C1878"/>
    <w:rsid w:val="008C4CE3"/>
    <w:rsid w:val="00955504"/>
    <w:rsid w:val="0096572E"/>
    <w:rsid w:val="0097708D"/>
    <w:rsid w:val="0098067D"/>
    <w:rsid w:val="009901D2"/>
    <w:rsid w:val="009D3DF7"/>
    <w:rsid w:val="009F45E0"/>
    <w:rsid w:val="00A27D60"/>
    <w:rsid w:val="00A43502"/>
    <w:rsid w:val="00A45D07"/>
    <w:rsid w:val="00AB100F"/>
    <w:rsid w:val="00B25DE4"/>
    <w:rsid w:val="00B6240F"/>
    <w:rsid w:val="00B675CA"/>
    <w:rsid w:val="00B74E84"/>
    <w:rsid w:val="00B86ABA"/>
    <w:rsid w:val="00BE22AB"/>
    <w:rsid w:val="00C20910"/>
    <w:rsid w:val="00C21C52"/>
    <w:rsid w:val="00C5248C"/>
    <w:rsid w:val="00CD690D"/>
    <w:rsid w:val="00D2038C"/>
    <w:rsid w:val="00D41D8B"/>
    <w:rsid w:val="00D43CB1"/>
    <w:rsid w:val="00D454D3"/>
    <w:rsid w:val="00DB12E6"/>
    <w:rsid w:val="00E406E8"/>
    <w:rsid w:val="00EB3564"/>
    <w:rsid w:val="00EC63BD"/>
    <w:rsid w:val="00F05AA7"/>
    <w:rsid w:val="00F22735"/>
    <w:rsid w:val="00F249AE"/>
    <w:rsid w:val="00F52C27"/>
    <w:rsid w:val="00F60381"/>
    <w:rsid w:val="00FF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03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C2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14FD"/>
    <w:pPr>
      <w:keepNext/>
      <w:keepLines/>
      <w:spacing w:before="40"/>
      <w:outlineLvl w:val="1"/>
    </w:pPr>
    <w:rPr>
      <w:rFonts w:asciiTheme="majorHAnsi" w:eastAsia="Times New Roman" w:hAnsiTheme="majorHAnsi" w:cstheme="majorBidi"/>
      <w:color w:val="000000"/>
      <w:sz w:val="22"/>
      <w:szCs w:val="22"/>
      <w:shd w:val="clear" w:color="auto" w:fill="FFFFFF"/>
    </w:rPr>
  </w:style>
  <w:style w:type="paragraph" w:styleId="Heading3">
    <w:name w:val="heading 3"/>
    <w:basedOn w:val="Normal"/>
    <w:next w:val="Normal"/>
    <w:link w:val="Heading3Char"/>
    <w:uiPriority w:val="9"/>
    <w:unhideWhenUsed/>
    <w:qFormat/>
    <w:rsid w:val="00F52C2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23C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14FD"/>
    <w:rPr>
      <w:rFonts w:asciiTheme="majorHAnsi" w:eastAsia="Times New Roman" w:hAnsiTheme="majorHAnsi" w:cstheme="majorBidi"/>
      <w:color w:val="000000"/>
      <w:sz w:val="22"/>
      <w:szCs w:val="22"/>
    </w:rPr>
  </w:style>
  <w:style w:type="character" w:customStyle="1" w:styleId="Heading1Char">
    <w:name w:val="Heading 1 Char"/>
    <w:basedOn w:val="DefaultParagraphFont"/>
    <w:link w:val="Heading1"/>
    <w:uiPriority w:val="9"/>
    <w:rsid w:val="00F52C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2C2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123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23C66"/>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532E2"/>
    <w:pPr>
      <w:ind w:left="720"/>
      <w:contextualSpacing/>
    </w:pPr>
  </w:style>
  <w:style w:type="character" w:styleId="Hyperlink">
    <w:name w:val="Hyperlink"/>
    <w:basedOn w:val="DefaultParagraphFont"/>
    <w:uiPriority w:val="99"/>
    <w:unhideWhenUsed/>
    <w:rsid w:val="0098067D"/>
    <w:rPr>
      <w:color w:val="0563C1" w:themeColor="hyperlink"/>
      <w:u w:val="single"/>
    </w:rPr>
  </w:style>
  <w:style w:type="character" w:styleId="UnresolvedMention">
    <w:name w:val="Unresolved Mention"/>
    <w:basedOn w:val="DefaultParagraphFont"/>
    <w:uiPriority w:val="99"/>
    <w:rsid w:val="00980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3404">
      <w:bodyDiv w:val="1"/>
      <w:marLeft w:val="0"/>
      <w:marRight w:val="0"/>
      <w:marTop w:val="0"/>
      <w:marBottom w:val="0"/>
      <w:divBdr>
        <w:top w:val="none" w:sz="0" w:space="0" w:color="auto"/>
        <w:left w:val="none" w:sz="0" w:space="0" w:color="auto"/>
        <w:bottom w:val="none" w:sz="0" w:space="0" w:color="auto"/>
        <w:right w:val="none" w:sz="0" w:space="0" w:color="auto"/>
      </w:divBdr>
    </w:div>
    <w:div w:id="102726863">
      <w:bodyDiv w:val="1"/>
      <w:marLeft w:val="0"/>
      <w:marRight w:val="0"/>
      <w:marTop w:val="0"/>
      <w:marBottom w:val="0"/>
      <w:divBdr>
        <w:top w:val="none" w:sz="0" w:space="0" w:color="auto"/>
        <w:left w:val="none" w:sz="0" w:space="0" w:color="auto"/>
        <w:bottom w:val="none" w:sz="0" w:space="0" w:color="auto"/>
        <w:right w:val="none" w:sz="0" w:space="0" w:color="auto"/>
      </w:divBdr>
    </w:div>
    <w:div w:id="177085589">
      <w:bodyDiv w:val="1"/>
      <w:marLeft w:val="0"/>
      <w:marRight w:val="0"/>
      <w:marTop w:val="0"/>
      <w:marBottom w:val="0"/>
      <w:divBdr>
        <w:top w:val="none" w:sz="0" w:space="0" w:color="auto"/>
        <w:left w:val="none" w:sz="0" w:space="0" w:color="auto"/>
        <w:bottom w:val="none" w:sz="0" w:space="0" w:color="auto"/>
        <w:right w:val="none" w:sz="0" w:space="0" w:color="auto"/>
      </w:divBdr>
    </w:div>
    <w:div w:id="250433018">
      <w:bodyDiv w:val="1"/>
      <w:marLeft w:val="0"/>
      <w:marRight w:val="0"/>
      <w:marTop w:val="0"/>
      <w:marBottom w:val="0"/>
      <w:divBdr>
        <w:top w:val="none" w:sz="0" w:space="0" w:color="auto"/>
        <w:left w:val="none" w:sz="0" w:space="0" w:color="auto"/>
        <w:bottom w:val="none" w:sz="0" w:space="0" w:color="auto"/>
        <w:right w:val="none" w:sz="0" w:space="0" w:color="auto"/>
      </w:divBdr>
    </w:div>
    <w:div w:id="251281481">
      <w:bodyDiv w:val="1"/>
      <w:marLeft w:val="0"/>
      <w:marRight w:val="0"/>
      <w:marTop w:val="0"/>
      <w:marBottom w:val="0"/>
      <w:divBdr>
        <w:top w:val="none" w:sz="0" w:space="0" w:color="auto"/>
        <w:left w:val="none" w:sz="0" w:space="0" w:color="auto"/>
        <w:bottom w:val="none" w:sz="0" w:space="0" w:color="auto"/>
        <w:right w:val="none" w:sz="0" w:space="0" w:color="auto"/>
      </w:divBdr>
    </w:div>
    <w:div w:id="254556215">
      <w:bodyDiv w:val="1"/>
      <w:marLeft w:val="0"/>
      <w:marRight w:val="0"/>
      <w:marTop w:val="0"/>
      <w:marBottom w:val="0"/>
      <w:divBdr>
        <w:top w:val="none" w:sz="0" w:space="0" w:color="auto"/>
        <w:left w:val="none" w:sz="0" w:space="0" w:color="auto"/>
        <w:bottom w:val="none" w:sz="0" w:space="0" w:color="auto"/>
        <w:right w:val="none" w:sz="0" w:space="0" w:color="auto"/>
      </w:divBdr>
    </w:div>
    <w:div w:id="312565282">
      <w:bodyDiv w:val="1"/>
      <w:marLeft w:val="0"/>
      <w:marRight w:val="0"/>
      <w:marTop w:val="0"/>
      <w:marBottom w:val="0"/>
      <w:divBdr>
        <w:top w:val="none" w:sz="0" w:space="0" w:color="auto"/>
        <w:left w:val="none" w:sz="0" w:space="0" w:color="auto"/>
        <w:bottom w:val="none" w:sz="0" w:space="0" w:color="auto"/>
        <w:right w:val="none" w:sz="0" w:space="0" w:color="auto"/>
      </w:divBdr>
    </w:div>
    <w:div w:id="390925232">
      <w:bodyDiv w:val="1"/>
      <w:marLeft w:val="0"/>
      <w:marRight w:val="0"/>
      <w:marTop w:val="0"/>
      <w:marBottom w:val="0"/>
      <w:divBdr>
        <w:top w:val="none" w:sz="0" w:space="0" w:color="auto"/>
        <w:left w:val="none" w:sz="0" w:space="0" w:color="auto"/>
        <w:bottom w:val="none" w:sz="0" w:space="0" w:color="auto"/>
        <w:right w:val="none" w:sz="0" w:space="0" w:color="auto"/>
      </w:divBdr>
      <w:divsChild>
        <w:div w:id="925767886">
          <w:marLeft w:val="0"/>
          <w:marRight w:val="0"/>
          <w:marTop w:val="0"/>
          <w:marBottom w:val="0"/>
          <w:divBdr>
            <w:top w:val="none" w:sz="0" w:space="0" w:color="auto"/>
            <w:left w:val="none" w:sz="0" w:space="0" w:color="auto"/>
            <w:bottom w:val="none" w:sz="0" w:space="0" w:color="auto"/>
            <w:right w:val="none" w:sz="0" w:space="0" w:color="auto"/>
          </w:divBdr>
        </w:div>
      </w:divsChild>
    </w:div>
    <w:div w:id="593442458">
      <w:bodyDiv w:val="1"/>
      <w:marLeft w:val="0"/>
      <w:marRight w:val="0"/>
      <w:marTop w:val="0"/>
      <w:marBottom w:val="0"/>
      <w:divBdr>
        <w:top w:val="none" w:sz="0" w:space="0" w:color="auto"/>
        <w:left w:val="none" w:sz="0" w:space="0" w:color="auto"/>
        <w:bottom w:val="none" w:sz="0" w:space="0" w:color="auto"/>
        <w:right w:val="none" w:sz="0" w:space="0" w:color="auto"/>
      </w:divBdr>
    </w:div>
    <w:div w:id="648704545">
      <w:bodyDiv w:val="1"/>
      <w:marLeft w:val="0"/>
      <w:marRight w:val="0"/>
      <w:marTop w:val="0"/>
      <w:marBottom w:val="0"/>
      <w:divBdr>
        <w:top w:val="none" w:sz="0" w:space="0" w:color="auto"/>
        <w:left w:val="none" w:sz="0" w:space="0" w:color="auto"/>
        <w:bottom w:val="none" w:sz="0" w:space="0" w:color="auto"/>
        <w:right w:val="none" w:sz="0" w:space="0" w:color="auto"/>
      </w:divBdr>
    </w:div>
    <w:div w:id="832374042">
      <w:bodyDiv w:val="1"/>
      <w:marLeft w:val="0"/>
      <w:marRight w:val="0"/>
      <w:marTop w:val="0"/>
      <w:marBottom w:val="0"/>
      <w:divBdr>
        <w:top w:val="none" w:sz="0" w:space="0" w:color="auto"/>
        <w:left w:val="none" w:sz="0" w:space="0" w:color="auto"/>
        <w:bottom w:val="none" w:sz="0" w:space="0" w:color="auto"/>
        <w:right w:val="none" w:sz="0" w:space="0" w:color="auto"/>
      </w:divBdr>
    </w:div>
    <w:div w:id="968049261">
      <w:bodyDiv w:val="1"/>
      <w:marLeft w:val="0"/>
      <w:marRight w:val="0"/>
      <w:marTop w:val="0"/>
      <w:marBottom w:val="0"/>
      <w:divBdr>
        <w:top w:val="none" w:sz="0" w:space="0" w:color="auto"/>
        <w:left w:val="none" w:sz="0" w:space="0" w:color="auto"/>
        <w:bottom w:val="none" w:sz="0" w:space="0" w:color="auto"/>
        <w:right w:val="none" w:sz="0" w:space="0" w:color="auto"/>
      </w:divBdr>
    </w:div>
    <w:div w:id="1028683488">
      <w:bodyDiv w:val="1"/>
      <w:marLeft w:val="0"/>
      <w:marRight w:val="0"/>
      <w:marTop w:val="0"/>
      <w:marBottom w:val="0"/>
      <w:divBdr>
        <w:top w:val="none" w:sz="0" w:space="0" w:color="auto"/>
        <w:left w:val="none" w:sz="0" w:space="0" w:color="auto"/>
        <w:bottom w:val="none" w:sz="0" w:space="0" w:color="auto"/>
        <w:right w:val="none" w:sz="0" w:space="0" w:color="auto"/>
      </w:divBdr>
    </w:div>
    <w:div w:id="1063025158">
      <w:bodyDiv w:val="1"/>
      <w:marLeft w:val="0"/>
      <w:marRight w:val="0"/>
      <w:marTop w:val="0"/>
      <w:marBottom w:val="0"/>
      <w:divBdr>
        <w:top w:val="none" w:sz="0" w:space="0" w:color="auto"/>
        <w:left w:val="none" w:sz="0" w:space="0" w:color="auto"/>
        <w:bottom w:val="none" w:sz="0" w:space="0" w:color="auto"/>
        <w:right w:val="none" w:sz="0" w:space="0" w:color="auto"/>
      </w:divBdr>
    </w:div>
    <w:div w:id="1221751993">
      <w:bodyDiv w:val="1"/>
      <w:marLeft w:val="0"/>
      <w:marRight w:val="0"/>
      <w:marTop w:val="0"/>
      <w:marBottom w:val="0"/>
      <w:divBdr>
        <w:top w:val="none" w:sz="0" w:space="0" w:color="auto"/>
        <w:left w:val="none" w:sz="0" w:space="0" w:color="auto"/>
        <w:bottom w:val="none" w:sz="0" w:space="0" w:color="auto"/>
        <w:right w:val="none" w:sz="0" w:space="0" w:color="auto"/>
      </w:divBdr>
    </w:div>
    <w:div w:id="1421369045">
      <w:bodyDiv w:val="1"/>
      <w:marLeft w:val="0"/>
      <w:marRight w:val="0"/>
      <w:marTop w:val="0"/>
      <w:marBottom w:val="0"/>
      <w:divBdr>
        <w:top w:val="none" w:sz="0" w:space="0" w:color="auto"/>
        <w:left w:val="none" w:sz="0" w:space="0" w:color="auto"/>
        <w:bottom w:val="none" w:sz="0" w:space="0" w:color="auto"/>
        <w:right w:val="none" w:sz="0" w:space="0" w:color="auto"/>
      </w:divBdr>
    </w:div>
    <w:div w:id="1441290966">
      <w:bodyDiv w:val="1"/>
      <w:marLeft w:val="0"/>
      <w:marRight w:val="0"/>
      <w:marTop w:val="0"/>
      <w:marBottom w:val="0"/>
      <w:divBdr>
        <w:top w:val="none" w:sz="0" w:space="0" w:color="auto"/>
        <w:left w:val="none" w:sz="0" w:space="0" w:color="auto"/>
        <w:bottom w:val="none" w:sz="0" w:space="0" w:color="auto"/>
        <w:right w:val="none" w:sz="0" w:space="0" w:color="auto"/>
      </w:divBdr>
    </w:div>
    <w:div w:id="1628194240">
      <w:bodyDiv w:val="1"/>
      <w:marLeft w:val="0"/>
      <w:marRight w:val="0"/>
      <w:marTop w:val="0"/>
      <w:marBottom w:val="0"/>
      <w:divBdr>
        <w:top w:val="none" w:sz="0" w:space="0" w:color="auto"/>
        <w:left w:val="none" w:sz="0" w:space="0" w:color="auto"/>
        <w:bottom w:val="none" w:sz="0" w:space="0" w:color="auto"/>
        <w:right w:val="none" w:sz="0" w:space="0" w:color="auto"/>
      </w:divBdr>
    </w:div>
    <w:div w:id="1780249147">
      <w:bodyDiv w:val="1"/>
      <w:marLeft w:val="0"/>
      <w:marRight w:val="0"/>
      <w:marTop w:val="0"/>
      <w:marBottom w:val="0"/>
      <w:divBdr>
        <w:top w:val="none" w:sz="0" w:space="0" w:color="auto"/>
        <w:left w:val="none" w:sz="0" w:space="0" w:color="auto"/>
        <w:bottom w:val="none" w:sz="0" w:space="0" w:color="auto"/>
        <w:right w:val="none" w:sz="0" w:space="0" w:color="auto"/>
      </w:divBdr>
    </w:div>
    <w:div w:id="1849758540">
      <w:bodyDiv w:val="1"/>
      <w:marLeft w:val="0"/>
      <w:marRight w:val="0"/>
      <w:marTop w:val="0"/>
      <w:marBottom w:val="0"/>
      <w:divBdr>
        <w:top w:val="none" w:sz="0" w:space="0" w:color="auto"/>
        <w:left w:val="none" w:sz="0" w:space="0" w:color="auto"/>
        <w:bottom w:val="none" w:sz="0" w:space="0" w:color="auto"/>
        <w:right w:val="none" w:sz="0" w:space="0" w:color="auto"/>
      </w:divBdr>
    </w:div>
    <w:div w:id="1910067982">
      <w:bodyDiv w:val="1"/>
      <w:marLeft w:val="0"/>
      <w:marRight w:val="0"/>
      <w:marTop w:val="0"/>
      <w:marBottom w:val="0"/>
      <w:divBdr>
        <w:top w:val="none" w:sz="0" w:space="0" w:color="auto"/>
        <w:left w:val="none" w:sz="0" w:space="0" w:color="auto"/>
        <w:bottom w:val="none" w:sz="0" w:space="0" w:color="auto"/>
        <w:right w:val="none" w:sz="0" w:space="0" w:color="auto"/>
      </w:divBdr>
    </w:div>
    <w:div w:id="1923946317">
      <w:bodyDiv w:val="1"/>
      <w:marLeft w:val="0"/>
      <w:marRight w:val="0"/>
      <w:marTop w:val="0"/>
      <w:marBottom w:val="0"/>
      <w:divBdr>
        <w:top w:val="none" w:sz="0" w:space="0" w:color="auto"/>
        <w:left w:val="none" w:sz="0" w:space="0" w:color="auto"/>
        <w:bottom w:val="none" w:sz="0" w:space="0" w:color="auto"/>
        <w:right w:val="none" w:sz="0" w:space="0" w:color="auto"/>
      </w:divBdr>
    </w:div>
    <w:div w:id="2084184322">
      <w:bodyDiv w:val="1"/>
      <w:marLeft w:val="0"/>
      <w:marRight w:val="0"/>
      <w:marTop w:val="0"/>
      <w:marBottom w:val="0"/>
      <w:divBdr>
        <w:top w:val="none" w:sz="0" w:space="0" w:color="auto"/>
        <w:left w:val="none" w:sz="0" w:space="0" w:color="auto"/>
        <w:bottom w:val="none" w:sz="0" w:space="0" w:color="auto"/>
        <w:right w:val="none" w:sz="0" w:space="0" w:color="auto"/>
      </w:divBdr>
    </w:div>
    <w:div w:id="2100515137">
      <w:bodyDiv w:val="1"/>
      <w:marLeft w:val="0"/>
      <w:marRight w:val="0"/>
      <w:marTop w:val="0"/>
      <w:marBottom w:val="0"/>
      <w:divBdr>
        <w:top w:val="none" w:sz="0" w:space="0" w:color="auto"/>
        <w:left w:val="none" w:sz="0" w:space="0" w:color="auto"/>
        <w:bottom w:val="none" w:sz="0" w:space="0" w:color="auto"/>
        <w:right w:val="none" w:sz="0" w:space="0" w:color="auto"/>
      </w:divBdr>
    </w:div>
    <w:div w:id="2134669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yweb.ttu.edu/aminra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771</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2018-09-14T18:25:00Z</dcterms:created>
  <dcterms:modified xsi:type="dcterms:W3CDTF">2018-09-14T19:52:00Z</dcterms:modified>
</cp:coreProperties>
</file>