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>
  <w:body>
    <w:p>
      <w:r>
        <w:t/>
      </w:r>
    </w:p>
    <w:p paraId="12acab5a">
      <w:pPr>
        <w:jc val="center"/>
        <w:pStyle val="Heading1"/>
      </w:pPr>
      <w:r>
        <w:t>Complex Math/Chemistry/Physics Formula Collection</w:t>
      </w:r>
    </w:p>
    <w:p paraId="a8fc56f3">
      <w:pPr>
        <w:pStyle val="Heading2"/>
      </w:pPr>
      <w:r>
        <w:t>I. Algebra</w:t>
      </w:r>
    </w:p>
    <w:p paraId="d10ae3b2">
      <w:r>
        <w:t>1. Quadratic Formula:</w:t>
      </w:r>
    </w:p>
  </w:body>
</w:document>
</file>

<file path=word/_rels/document.xml.rels><?xml version="1.0" encoding="UTF-8" standalone="yes"?><Relationships xmlns="http://schemas.openxmlformats.org/package/2006/relationships"/>
</file>