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 xml:space="preserve">System shall display message “This username already exists” if </w:t>
            </w:r>
            <w:r w:rsidR="008634D9">
              <w:rPr>
                <w:rFonts w:ascii="Times New Roman" w:hAnsi="Times New Roman" w:cs="Times New Roman"/>
                <w:noProof/>
                <w:color w:val="9BBB59" w:themeColor="accent3"/>
                <w:sz w:val="24"/>
                <w:szCs w:val="24"/>
              </w:rPr>
              <w:t>Passenger inputs an existing mobile number</w:t>
            </w:r>
            <w:r w:rsidRPr="00491BAC">
              <w:rPr>
                <w:rFonts w:ascii="Times New Roman" w:hAnsi="Times New Roman" w:cs="Times New Roman"/>
                <w:noProof/>
                <w:color w:val="9BBB59" w:themeColor="accent3"/>
                <w:sz w:val="24"/>
                <w:szCs w:val="24"/>
              </w:rPr>
              <w:t>.</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252227" w:rsidRDefault="00162D75"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162D75" w:rsidRPr="00252227" w:rsidRDefault="00252227"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52227">
              <w:rPr>
                <w:rFonts w:ascii="Times New Roman" w:hAnsi="Times New Roman" w:cs="Times New Roman"/>
                <w:noProof/>
                <w:color w:val="8064A2" w:themeColor="accent4"/>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8313C8" w:rsidRPr="008313C8"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p w:rsidR="008313C8" w:rsidRDefault="008313C8" w:rsidP="008313C8">
            <w:pPr>
              <w:rPr>
                <w:rFonts w:ascii="Times New Roman" w:hAnsi="Times New Roman" w:cs="Times New Roman"/>
                <w:noProof/>
                <w:sz w:val="24"/>
                <w:szCs w:val="24"/>
              </w:rPr>
            </w:pPr>
            <w:r>
              <w:rPr>
                <w:rFonts w:ascii="Times New Roman" w:hAnsi="Times New Roman" w:cs="Times New Roman"/>
                <w:noProof/>
                <w:sz w:val="24"/>
                <w:szCs w:val="24"/>
              </w:rPr>
              <w:t xml:space="preserve">5A. If Passenger enter destination that no </w:t>
            </w:r>
            <w:r>
              <w:t xml:space="preserve">available </w:t>
            </w:r>
            <w:r>
              <w:rPr>
                <w:rFonts w:ascii="Times New Roman" w:hAnsi="Times New Roman" w:cs="Times New Roman"/>
                <w:noProof/>
                <w:sz w:val="24"/>
                <w:szCs w:val="24"/>
              </w:rPr>
              <w:t>taxi in.</w:t>
            </w:r>
          </w:p>
          <w:p w:rsidR="008313C8" w:rsidRPr="008313C8" w:rsidRDefault="008313C8" w:rsidP="008313C8">
            <w:r>
              <w:t>1.</w:t>
            </w:r>
            <w:r w:rsidRPr="008313C8">
              <w:rPr>
                <w:color w:val="8064A2" w:themeColor="accent4"/>
              </w:rPr>
              <w:t>System shall provide the result if there is any taxi that nearby the destination that Passenger selected.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8313C8" w:rsidP="00162D75">
      <w:r>
        <w:t xml:space="preserve">Available </w:t>
      </w:r>
    </w:p>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 xml:space="preserve">5A. </w:t>
            </w:r>
          </w:p>
          <w:p w:rsidR="00D06BF9"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1.</w:t>
            </w:r>
            <w:r w:rsidRPr="00D06BF9">
              <w:rPr>
                <w:rFonts w:ascii="Times New Roman" w:hAnsi="Times New Roman" w:cs="Times New Roman"/>
                <w:noProof/>
                <w:color w:val="8064A2" w:themeColor="accent4"/>
                <w:sz w:val="24"/>
                <w:szCs w:val="24"/>
              </w:rPr>
              <w:t>System shall display error message “fill” if the input equals to blank</w:t>
            </w:r>
            <w:r>
              <w:rPr>
                <w:rFonts w:ascii="Times New Roman" w:hAnsi="Times New Roman" w:cs="Times New Roman"/>
                <w:noProof/>
                <w:sz w:val="24"/>
                <w:szCs w:val="24"/>
              </w:rPr>
              <w:t>.</w:t>
            </w:r>
          </w:p>
          <w:p w:rsidR="00D06BF9" w:rsidRPr="00716FE8" w:rsidRDefault="00D06BF9" w:rsidP="00AE4EF5">
            <w:pPr>
              <w:spacing w:after="100" w:afterAutospacing="1" w:line="276" w:lineRule="auto"/>
              <w:rPr>
                <w:rFonts w:ascii="Times New Roman" w:hAnsi="Times New Roman" w:cs="Times New Roman"/>
                <w:noProof/>
                <w:sz w:val="24"/>
                <w:szCs w:val="24"/>
              </w:rPr>
            </w:pP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720370">
              <w:rPr>
                <w:rFonts w:ascii="Times New Roman" w:hAnsi="Times New Roman" w:cs="Times New Roman"/>
                <w:noProof/>
                <w:color w:val="8064A2" w:themeColor="accent4"/>
                <w:sz w:val="24"/>
                <w:szCs w:val="24"/>
              </w:rPr>
              <w:t>sav</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2. </w:t>
            </w:r>
            <w:r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Pr="005D4B39">
              <w:rPr>
                <w:rFonts w:ascii="Times New Roman" w:hAnsi="Times New Roman" w:cs="Times New Roman"/>
                <w:noProof/>
                <w:color w:val="8064A2" w:themeColor="accent4"/>
                <w:sz w:val="24"/>
                <w:szCs w:val="24"/>
              </w:rPr>
              <w:t>”</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Pr="0012795D">
              <w:rPr>
                <w:rFonts w:ascii="Times New Roman" w:hAnsi="Times New Roman" w:cs="Times New Roman"/>
                <w:noProof/>
                <w:color w:val="E36C0A" w:themeColor="accent6" w:themeShade="BF"/>
                <w:sz w:val="24"/>
                <w:szCs w:val="24"/>
              </w:rPr>
              <w:t>d request to Driver.</w:t>
            </w:r>
          </w:p>
          <w:p w:rsidR="00800E94" w:rsidRPr="00E408DE" w:rsidRDefault="00E408DE" w:rsidP="00E408DE">
            <w:pPr>
              <w:pStyle w:val="a4"/>
              <w:spacing w:line="276" w:lineRule="auto"/>
              <w:ind w:left="39"/>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4.System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0204E0"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485900" cy="4057650"/>
            <wp:effectExtent l="19050" t="0" r="0" b="0"/>
            <wp:docPr id="25" name="Picture 10"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c_progress2\ActivityDiagram\Passenger Cancle request.jpg"/>
                    <pic:cNvPicPr>
                      <a:picLocks noChangeAspect="1" noChangeArrowheads="1"/>
                    </pic:cNvPicPr>
                  </pic:nvPicPr>
                  <pic:blipFill>
                    <a:blip r:embed="rId37"/>
                    <a:srcRect/>
                    <a:stretch>
                      <a:fillRect/>
                    </a:stretch>
                  </pic:blipFill>
                  <pic:spPr bwMode="auto">
                    <a:xfrm>
                      <a:off x="0" y="0"/>
                      <a:ext cx="1485900" cy="4057650"/>
                    </a:xfrm>
                    <a:prstGeom prst="rect">
                      <a:avLst/>
                    </a:prstGeom>
                    <a:noFill/>
                    <a:ln w="9525">
                      <a:noFill/>
                      <a:miter lim="800000"/>
                      <a:headEnd/>
                      <a:tailEnd/>
                    </a:ln>
                  </pic:spPr>
                </pic:pic>
              </a:graphicData>
            </a:graphic>
          </wp:inline>
        </w:drawing>
      </w: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FCB" w:rsidRDefault="00700FCB" w:rsidP="007B374B">
      <w:pPr>
        <w:spacing w:after="0" w:line="240" w:lineRule="auto"/>
      </w:pPr>
      <w:r>
        <w:separator/>
      </w:r>
    </w:p>
  </w:endnote>
  <w:endnote w:type="continuationSeparator" w:id="1">
    <w:p w:rsidR="00700FCB" w:rsidRDefault="00700FCB"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720370" w:rsidRPr="00720370">
              <w:rPr>
                <w:rFonts w:cs="Calibri"/>
                <w:noProof/>
                <w:sz w:val="14"/>
                <w:szCs w:val="14"/>
                <w:lang w:val="th-TH"/>
              </w:rPr>
              <w:t>49</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FCB" w:rsidRDefault="00700FCB" w:rsidP="007B374B">
      <w:pPr>
        <w:spacing w:after="0" w:line="240" w:lineRule="auto"/>
      </w:pPr>
      <w:r>
        <w:separator/>
      </w:r>
    </w:p>
  </w:footnote>
  <w:footnote w:type="continuationSeparator" w:id="1">
    <w:p w:rsidR="00700FCB" w:rsidRDefault="00700FCB"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52227"/>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768"/>
    <w:rsid w:val="006D48B5"/>
    <w:rsid w:val="006D74E4"/>
    <w:rsid w:val="006D7E73"/>
    <w:rsid w:val="006E432F"/>
    <w:rsid w:val="006E65E4"/>
    <w:rsid w:val="006E66CD"/>
    <w:rsid w:val="006F1329"/>
    <w:rsid w:val="006F4D4E"/>
    <w:rsid w:val="00700FCB"/>
    <w:rsid w:val="00701429"/>
    <w:rsid w:val="00705B50"/>
    <w:rsid w:val="00705D2F"/>
    <w:rsid w:val="00710A55"/>
    <w:rsid w:val="00711D71"/>
    <w:rsid w:val="0071338B"/>
    <w:rsid w:val="00716FE8"/>
    <w:rsid w:val="00720370"/>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BF9"/>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commentsExtended" Target="commentsExtended.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59074-A3B7-4B94-AFAB-7A850E1C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65</Pages>
  <Words>7029</Words>
  <Characters>40071</Characters>
  <Application>Microsoft Office Word</Application>
  <DocSecurity>0</DocSecurity>
  <Lines>333</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cp:revision>
  <cp:lastPrinted>2014-05-21T15:33:00Z</cp:lastPrinted>
  <dcterms:created xsi:type="dcterms:W3CDTF">2014-10-07T14:27:00Z</dcterms:created>
  <dcterms:modified xsi:type="dcterms:W3CDTF">2014-10-19T11:30:00Z</dcterms:modified>
</cp:coreProperties>
</file>