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54B5B8" w14:textId="77777777" w:rsidR="00E775EB" w:rsidRDefault="00000000">
      <w:pPr>
        <w:spacing w:before="2600"/>
        <w:jc w:val="center"/>
      </w:pPr>
      <w:r>
        <w:rPr>
          <w:b/>
          <w:bCs/>
          <w:color w:val="1F6FEB"/>
          <w:sz w:val="52"/>
          <w:szCs w:val="52"/>
        </w:rPr>
        <w:t>Migração para a Nuvem AWS</w:t>
      </w:r>
    </w:p>
    <w:p w14:paraId="02CC25BF" w14:textId="77777777" w:rsidR="00E775EB" w:rsidRDefault="00000000">
      <w:pPr>
        <w:jc w:val="center"/>
      </w:pPr>
      <w:r>
        <w:rPr>
          <w:b/>
          <w:bCs/>
          <w:sz w:val="40"/>
          <w:szCs w:val="40"/>
        </w:rPr>
        <w:t>Documentação do MVP — Mercantis</w:t>
      </w:r>
    </w:p>
    <w:p w14:paraId="6CD0B1F4" w14:textId="77777777" w:rsidR="00E775EB" w:rsidRDefault="00000000">
      <w:pPr>
        <w:spacing w:before="200"/>
        <w:jc w:val="center"/>
      </w:pPr>
      <w:r>
        <w:rPr>
          <w:color w:val="555555"/>
          <w:sz w:val="24"/>
          <w:szCs w:val="24"/>
        </w:rPr>
        <w:t>Infraestrutura como código (Terraform) · Frontend em Docker · RDS MariaDB</w:t>
      </w:r>
    </w:p>
    <w:p w14:paraId="1D47C5DF" w14:textId="77777777" w:rsidR="00E775EB" w:rsidRDefault="00000000">
      <w:pPr>
        <w:spacing w:before="1400"/>
        <w:jc w:val="center"/>
      </w:pPr>
      <w:r>
        <w:t>TI5A — Cloud Computing · ESPM · Semestre 2026-I</w:t>
      </w:r>
    </w:p>
    <w:p w14:paraId="657EB987" w14:textId="77777777" w:rsidR="00E775EB" w:rsidRDefault="00000000">
      <w:pPr>
        <w:spacing w:before="80"/>
        <w:jc w:val="center"/>
      </w:pPr>
      <w:r>
        <w:rPr>
          <w:color w:val="555555"/>
        </w:rPr>
        <w:t>Estudo de caso Mercantis / move2cloud</w:t>
      </w:r>
    </w:p>
    <w:p w14:paraId="49A04EC1" w14:textId="77777777" w:rsidR="00E775EB" w:rsidRDefault="00000000">
      <w:r>
        <w:br w:type="page"/>
      </w:r>
    </w:p>
    <w:p w14:paraId="25FA0C5E" w14:textId="77777777" w:rsidR="00E775EB" w:rsidRDefault="00000000">
      <w:pPr>
        <w:pStyle w:val="Ttulo1"/>
      </w:pPr>
      <w:r>
        <w:lastRenderedPageBreak/>
        <w:t>Sumário</w:t>
      </w:r>
    </w:p>
    <w:p w14:paraId="04B94C37" w14:textId="77777777" w:rsidR="00E775EB" w:rsidRDefault="00000000">
      <w:pPr>
        <w:tabs>
          <w:tab w:val="right" w:leader="dot" w:pos="9000"/>
        </w:tabs>
        <w:spacing w:after="70" w:line="276" w:lineRule="auto"/>
      </w:pPr>
      <w:r>
        <w:rPr>
          <w:b/>
          <w:bCs/>
        </w:rPr>
        <w:t>1. Introdução</w:t>
      </w:r>
      <w:r>
        <w:tab/>
        <w:t>3</w:t>
      </w:r>
    </w:p>
    <w:p w14:paraId="53AD9A31" w14:textId="77777777" w:rsidR="00E775EB" w:rsidRDefault="00000000">
      <w:pPr>
        <w:tabs>
          <w:tab w:val="right" w:leader="dot" w:pos="9000"/>
        </w:tabs>
        <w:spacing w:after="70" w:line="276" w:lineRule="auto"/>
      </w:pPr>
      <w:r>
        <w:rPr>
          <w:b/>
          <w:bCs/>
        </w:rPr>
        <w:t>2. O portal web da Mercantis: real vs. MVP</w:t>
      </w:r>
      <w:r>
        <w:tab/>
        <w:t>3</w:t>
      </w:r>
    </w:p>
    <w:p w14:paraId="46013D31" w14:textId="77777777" w:rsidR="00E775EB" w:rsidRDefault="00000000">
      <w:pPr>
        <w:tabs>
          <w:tab w:val="right" w:leader="dot" w:pos="9000"/>
        </w:tabs>
        <w:spacing w:after="70" w:line="276" w:lineRule="auto"/>
      </w:pPr>
      <w:r>
        <w:rPr>
          <w:b/>
          <w:bCs/>
        </w:rPr>
        <w:t>3. O serviço web disponibilizado</w:t>
      </w:r>
      <w:r>
        <w:tab/>
        <w:t>5</w:t>
      </w:r>
    </w:p>
    <w:p w14:paraId="38955027" w14:textId="77777777" w:rsidR="00E775EB" w:rsidRDefault="00000000">
      <w:pPr>
        <w:tabs>
          <w:tab w:val="right" w:leader="dot" w:pos="9000"/>
        </w:tabs>
        <w:spacing w:after="70" w:line="276" w:lineRule="auto"/>
      </w:pPr>
      <w:r>
        <w:rPr>
          <w:b/>
          <w:bCs/>
        </w:rPr>
        <w:t>4. Diagrama da infraestrutura final (alvo)</w:t>
      </w:r>
      <w:r>
        <w:tab/>
        <w:t>6</w:t>
      </w:r>
    </w:p>
    <w:p w14:paraId="5330A95B" w14:textId="77777777" w:rsidR="00E775EB" w:rsidRDefault="00000000">
      <w:pPr>
        <w:tabs>
          <w:tab w:val="right" w:leader="dot" w:pos="9000"/>
        </w:tabs>
        <w:spacing w:after="70" w:line="276" w:lineRule="auto"/>
      </w:pPr>
      <w:r>
        <w:rPr>
          <w:b/>
          <w:bCs/>
        </w:rPr>
        <w:t>5. Diagrama da infraestrutura do MVP</w:t>
      </w:r>
      <w:r>
        <w:tab/>
        <w:t>7</w:t>
      </w:r>
    </w:p>
    <w:p w14:paraId="0CDDE2F3" w14:textId="77777777" w:rsidR="00E775EB" w:rsidRDefault="00000000">
      <w:pPr>
        <w:tabs>
          <w:tab w:val="right" w:leader="dot" w:pos="9000"/>
        </w:tabs>
        <w:spacing w:after="70" w:line="276" w:lineRule="auto"/>
      </w:pPr>
      <w:r>
        <w:rPr>
          <w:b/>
          <w:bCs/>
        </w:rPr>
        <w:t>6. Detalhes técnicos: segurança do MVP</w:t>
      </w:r>
      <w:r>
        <w:tab/>
        <w:t>9</w:t>
      </w:r>
    </w:p>
    <w:p w14:paraId="3758446B" w14:textId="77777777" w:rsidR="00E775EB" w:rsidRDefault="00000000">
      <w:pPr>
        <w:tabs>
          <w:tab w:val="right" w:leader="dot" w:pos="9000"/>
        </w:tabs>
        <w:spacing w:after="70" w:line="276" w:lineRule="auto"/>
        <w:ind w:left="360"/>
      </w:pPr>
      <w:r>
        <w:rPr>
          <w:sz w:val="20"/>
          <w:szCs w:val="20"/>
        </w:rPr>
        <w:t>6.1. Security Groups</w:t>
      </w:r>
      <w:r>
        <w:rPr>
          <w:sz w:val="20"/>
          <w:szCs w:val="20"/>
        </w:rPr>
        <w:tab/>
        <w:t>9</w:t>
      </w:r>
    </w:p>
    <w:p w14:paraId="504582EE" w14:textId="77777777" w:rsidR="00E775EB" w:rsidRDefault="00000000">
      <w:pPr>
        <w:tabs>
          <w:tab w:val="right" w:leader="dot" w:pos="9000"/>
        </w:tabs>
        <w:spacing w:after="70" w:line="276" w:lineRule="auto"/>
        <w:ind w:left="360"/>
      </w:pPr>
      <w:r>
        <w:rPr>
          <w:sz w:val="20"/>
          <w:szCs w:val="20"/>
        </w:rPr>
        <w:t>6.2. Controles adicionais de segurança</w:t>
      </w:r>
      <w:r>
        <w:rPr>
          <w:sz w:val="20"/>
          <w:szCs w:val="20"/>
        </w:rPr>
        <w:tab/>
        <w:t>10</w:t>
      </w:r>
    </w:p>
    <w:p w14:paraId="15BCB7EF" w14:textId="77777777" w:rsidR="00E775EB" w:rsidRDefault="00000000">
      <w:pPr>
        <w:tabs>
          <w:tab w:val="right" w:leader="dot" w:pos="9000"/>
        </w:tabs>
        <w:spacing w:after="70" w:line="276" w:lineRule="auto"/>
      </w:pPr>
      <w:r>
        <w:rPr>
          <w:b/>
          <w:bCs/>
        </w:rPr>
        <w:t>7. Conclusão</w:t>
      </w:r>
      <w:r>
        <w:tab/>
        <w:t>11</w:t>
      </w:r>
    </w:p>
    <w:p w14:paraId="03E90CA4" w14:textId="77777777" w:rsidR="00E775EB" w:rsidRDefault="00000000">
      <w:pPr>
        <w:tabs>
          <w:tab w:val="right" w:leader="dot" w:pos="9000"/>
        </w:tabs>
        <w:spacing w:after="70" w:line="276" w:lineRule="auto"/>
      </w:pPr>
      <w:r>
        <w:rPr>
          <w:b/>
          <w:bCs/>
        </w:rPr>
        <w:t>Referências</w:t>
      </w:r>
      <w:r>
        <w:tab/>
        <w:t>12</w:t>
      </w:r>
    </w:p>
    <w:p w14:paraId="1E96A7A0" w14:textId="77777777" w:rsidR="00E775EB" w:rsidRDefault="00000000">
      <w:r>
        <w:br w:type="page"/>
      </w:r>
    </w:p>
    <w:p w14:paraId="14A979DF" w14:textId="77777777" w:rsidR="00E775EB" w:rsidRDefault="00000000">
      <w:pPr>
        <w:pStyle w:val="Ttulo1"/>
      </w:pPr>
      <w:r>
        <w:lastRenderedPageBreak/>
        <w:t>1. Introdução</w:t>
      </w:r>
    </w:p>
    <w:p w14:paraId="44B52432" w14:textId="77777777" w:rsidR="00E775EB" w:rsidRDefault="00000000">
      <w:pPr>
        <w:spacing w:after="140" w:line="276" w:lineRule="auto"/>
      </w:pPr>
      <w:r>
        <w:t>Este documento descreve o MVP de migração do portal de e-commerce da Mercantis para a nuvem AWS. A Mercantis opera há cerca de dez anos um portal de vendas hospedado em ambiente on-premises. Uma tempestade derrubou a energia, os no-breaks não aguentaram, e o portal saiu do ar por horas. A consultoria que avaliou o ambiente encontrou três problemas centrais: um firewall de borda sem capacidade de inspecionar requisições da aplicação, o servidor web Apache e o banco MariaDB no mesmo segmento de rede público, e nenhuma redundância para absorver picos de tráfego ou falhas de hardware.</w:t>
      </w:r>
    </w:p>
    <w:p w14:paraId="743A773D" w14:textId="77777777" w:rsidR="00E775EB" w:rsidRDefault="00000000">
      <w:pPr>
        <w:spacing w:after="140" w:line="276" w:lineRule="auto"/>
      </w:pPr>
      <w:r>
        <w:t>O MVP responde a esses problemas com uma arquitetura enxuta na AWS, provisionada por Terraform. Ele entrega o caminho crítico da migração: o frontend roda em um container Docker sobre EC2, o banco passa a ser um Amazon RDS MariaDB gerenciado em sub-rede privada, e a borda ganha CloudFront, AWS WAF e AWS Shield. Sobre o diagrama-base fornecido, acrescentei controles de segurança adicionais descritos na seção 6.</w:t>
      </w:r>
    </w:p>
    <w:p w14:paraId="01FD60A4" w14:textId="77777777" w:rsidR="00E775EB" w:rsidRDefault="00000000">
      <w:pPr>
        <w:spacing w:after="140" w:line="276" w:lineRule="auto"/>
      </w:pPr>
      <w:r>
        <w:rPr>
          <w:b/>
          <w:bCs/>
        </w:rPr>
        <w:t xml:space="preserve">Escopo. </w:t>
      </w:r>
      <w:r>
        <w:t xml:space="preserve">O MVP valida a arquitetura, a segurança de rede e a separação entre camadas. Ele não cobre ainda o auto scaling, o balanceador de carga e o Multi-AZ completo, reservados para a arquitetura final (seção 4). A estratégia de migração combina </w:t>
      </w:r>
      <w:r>
        <w:rPr>
          <w:i/>
          <w:iCs/>
        </w:rPr>
        <w:t>replatform</w:t>
      </w:r>
      <w:r>
        <w:t xml:space="preserve"> (banco gerenciado no RDS) com </w:t>
      </w:r>
      <w:r>
        <w:rPr>
          <w:i/>
          <w:iCs/>
        </w:rPr>
        <w:t>refactor</w:t>
      </w:r>
      <w:r>
        <w:t xml:space="preserve"> leve (frontend conteinerizado), em linha com as opções discutidas no roteiro move2cloud da disciplina.</w:t>
      </w:r>
    </w:p>
    <w:p w14:paraId="70712241" w14:textId="77777777" w:rsidR="00E775EB" w:rsidRDefault="00000000">
      <w:pPr>
        <w:pStyle w:val="Ttulo1"/>
      </w:pPr>
      <w:r>
        <w:t>2. O portal web da Mercantis: real vs. MVP</w:t>
      </w:r>
    </w:p>
    <w:p w14:paraId="3F3C1E0A" w14:textId="77777777" w:rsidR="00E775EB" w:rsidRDefault="00000000">
      <w:pPr>
        <w:pStyle w:val="Ttulo2"/>
      </w:pPr>
      <w:r>
        <w:t>2.1. O portal real</w:t>
      </w:r>
    </w:p>
    <w:p w14:paraId="00592AF2" w14:textId="77777777" w:rsidR="00E775EB" w:rsidRDefault="00000000">
      <w:pPr>
        <w:spacing w:after="140" w:line="276" w:lineRule="auto"/>
      </w:pPr>
      <w:r>
        <w:t>O portal real da Mercantis é uma loja virtual de catálogo amplo, voltada ao mercado nacional. Os clientes navegam por categorias, pesquisam produtos, montam o carrinho, criam conta, fazem login, finalizam a compra e acompanham pedidos. A operação valoriza preço competitivo e entrega rápida, e sofre nos períodos de pico, como datas comemorativas e promoções, quando a arquitetura estática on-premises não acompanha o aumento de acessos. Os clientes distantes do data center também enfrentam lentidão, porque não há distribuição de conteúdo por regiões.</w:t>
      </w:r>
    </w:p>
    <w:p w14:paraId="77D13A10" w14:textId="77777777" w:rsidR="00E775EB" w:rsidRDefault="00000000">
      <w:pPr>
        <w:spacing w:after="140" w:line="276" w:lineRule="auto"/>
      </w:pPr>
      <w:r>
        <w:t>Em produção, o portal envolveria múltiplos serviços: catálogo, busca, carrinho, contas de usuário, pagamentos integrados a adquirentes, gestão de pedidos e estoque, e integrações com logística. Esses serviços conversam com um banco relacional e com armazenamento de mídia, como as imagens dos produtos.</w:t>
      </w:r>
    </w:p>
    <w:p w14:paraId="30AD61D7" w14:textId="77777777" w:rsidR="00E775EB" w:rsidRDefault="00000000">
      <w:pPr>
        <w:pStyle w:val="Ttulo2"/>
      </w:pPr>
      <w:r>
        <w:t>2.2. O que o MVP representa</w:t>
      </w:r>
    </w:p>
    <w:p w14:paraId="068F37DF" w14:textId="77777777" w:rsidR="00E775EB" w:rsidRDefault="00000000">
      <w:pPr>
        <w:spacing w:after="140" w:line="276" w:lineRule="auto"/>
      </w:pPr>
      <w:r>
        <w:t>O MVP reproduz a espinha dorsal dessa aplicação sem recriar todas as integrações. Uma única instância EC2 executa o container do frontend, que representa a camada web e de aplicação do portal. O Amazon RDS MariaDB substitui o banco que antes rodava no servidor dedicado on-premises, agora isolado em sub-rede privada. Um bucket S3 guarda os arquivos estáticos, como imagens, CSS e JavaScript, que o CloudFront distribui com baixa latência.</w:t>
      </w:r>
    </w:p>
    <w:p w14:paraId="3F5F136B" w14:textId="77777777" w:rsidR="00E775EB" w:rsidRDefault="00000000">
      <w:pPr>
        <w:spacing w:after="140" w:line="276" w:lineRule="auto"/>
      </w:pPr>
      <w:r>
        <w:lastRenderedPageBreak/>
        <w:t>A imagem Docker padrão do MVP é uma aplicação de demonstração. Para usar a loja real, basta publicar a imagem da Mercantis em um registry e apontar a variável frontend_image, como descreve o README. A arquitetura de rede, segurança e dados permanece a mesma.</w:t>
      </w:r>
    </w:p>
    <w:tbl>
      <w:tblPr>
        <w:tblW w:w="9360" w:type="dxa"/>
        <w:tblBorders>
          <w:top w:val="single" w:sz="1" w:space="0" w:color="BBBBBB"/>
          <w:left w:val="single" w:sz="1" w:space="0" w:color="BBBBBB"/>
          <w:bottom w:val="single" w:sz="1" w:space="0" w:color="BBBBBB"/>
          <w:right w:val="single" w:sz="1" w:space="0" w:color="BBBBBB"/>
          <w:insideH w:val="single" w:sz="1" w:space="0" w:color="BBBBBB"/>
          <w:insideV w:val="single" w:sz="1" w:space="0" w:color="BBBBB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580"/>
        <w:gridCol w:w="3580"/>
      </w:tblGrid>
      <w:tr w:rsidR="00E775EB" w14:paraId="2D7543D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1F6FE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78CC8F" w14:textId="77777777" w:rsidR="00E775EB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Dimensão</w:t>
            </w:r>
          </w:p>
        </w:tc>
        <w:tc>
          <w:tcPr>
            <w:tcW w:w="3580" w:type="dxa"/>
            <w:shd w:val="clear" w:color="auto" w:fill="1F6FE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E4C57E0" w14:textId="77777777" w:rsidR="00E775EB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Portal real (produção)</w:t>
            </w:r>
          </w:p>
        </w:tc>
        <w:tc>
          <w:tcPr>
            <w:tcW w:w="3580" w:type="dxa"/>
            <w:shd w:val="clear" w:color="auto" w:fill="1F6FE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1D4029E" w14:textId="77777777" w:rsidR="00E775EB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MVP (este projeto)</w:t>
            </w:r>
          </w:p>
        </w:tc>
      </w:tr>
      <w:tr w:rsidR="00E775EB" w14:paraId="506B8E6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B92E4F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Camada web/app</w:t>
            </w:r>
          </w:p>
        </w:tc>
        <w:tc>
          <w:tcPr>
            <w:tcW w:w="358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3248F2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Vários servidores atrás de balanceador, com auto scaling</w:t>
            </w:r>
          </w:p>
        </w:tc>
        <w:tc>
          <w:tcPr>
            <w:tcW w:w="358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2520E3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Uma EC2 com container Docker</w:t>
            </w:r>
          </w:p>
        </w:tc>
      </w:tr>
      <w:tr w:rsidR="00E775EB" w14:paraId="59BCAEB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434C34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Banco de dados</w:t>
            </w:r>
          </w:p>
        </w:tc>
        <w:tc>
          <w:tcPr>
            <w:tcW w:w="358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5CF3C9C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MariaDB com réplicas e alta disponibilidade</w:t>
            </w:r>
          </w:p>
        </w:tc>
        <w:tc>
          <w:tcPr>
            <w:tcW w:w="358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A54FEB7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RDS MariaDB single-AZ (Multi-AZ na arquitetura final)</w:t>
            </w:r>
          </w:p>
        </w:tc>
      </w:tr>
      <w:tr w:rsidR="00E775EB" w14:paraId="055A020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875C1A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Estáticos</w:t>
            </w:r>
          </w:p>
        </w:tc>
        <w:tc>
          <w:tcPr>
            <w:tcW w:w="358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1E51F13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CDN sobre bucket de objetos</w:t>
            </w:r>
          </w:p>
        </w:tc>
        <w:tc>
          <w:tcPr>
            <w:tcW w:w="358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DE5D645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S3 privado servido via CloudFront (OAC)</w:t>
            </w:r>
          </w:p>
        </w:tc>
      </w:tr>
      <w:tr w:rsidR="00E775EB" w14:paraId="4D9A677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0C21FA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Disponibilidade</w:t>
            </w:r>
          </w:p>
        </w:tc>
        <w:tc>
          <w:tcPr>
            <w:tcW w:w="358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1805B73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Multi-AZ, tolerante a falhas</w:t>
            </w:r>
          </w:p>
        </w:tc>
        <w:tc>
          <w:tcPr>
            <w:tcW w:w="358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4410646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AZ única para compute; 2 AZs já provisionadas na rede</w:t>
            </w:r>
          </w:p>
        </w:tc>
      </w:tr>
      <w:tr w:rsidR="00E775EB" w14:paraId="1C2B0A2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7F6D36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Segurança de borda</w:t>
            </w:r>
          </w:p>
        </w:tc>
        <w:tc>
          <w:tcPr>
            <w:tcW w:w="358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8D8091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WAF, Shield, TLS, proteção DDoS</w:t>
            </w:r>
          </w:p>
        </w:tc>
        <w:tc>
          <w:tcPr>
            <w:tcW w:w="358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8A0D40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WAF + Shield Standard + CloudFront com HTTPS</w:t>
            </w:r>
          </w:p>
        </w:tc>
      </w:tr>
    </w:tbl>
    <w:p w14:paraId="3A31FD1F" w14:textId="77777777" w:rsidR="00E775EB" w:rsidRDefault="00000000">
      <w:pPr>
        <w:spacing w:after="220"/>
        <w:jc w:val="center"/>
      </w:pPr>
      <w:r>
        <w:rPr>
          <w:i/>
          <w:iCs/>
          <w:color w:val="555555"/>
          <w:sz w:val="18"/>
          <w:szCs w:val="18"/>
        </w:rPr>
        <w:t>Tabela 1. Comparação entre o portal real e o que o MVP entrega.</w:t>
      </w:r>
    </w:p>
    <w:p w14:paraId="2AC85E83" w14:textId="77777777" w:rsidR="00E775EB" w:rsidRDefault="00000000">
      <w:r>
        <w:br w:type="page"/>
      </w:r>
    </w:p>
    <w:p w14:paraId="63DE8FAB" w14:textId="77777777" w:rsidR="00E775EB" w:rsidRDefault="00000000">
      <w:pPr>
        <w:pStyle w:val="Ttulo1"/>
      </w:pPr>
      <w:r>
        <w:lastRenderedPageBreak/>
        <w:t>3. O serviço web disponibilizado</w:t>
      </w:r>
    </w:p>
    <w:p w14:paraId="6C3A8948" w14:textId="77777777" w:rsidR="00E775EB" w:rsidRDefault="00000000">
      <w:pPr>
        <w:spacing w:after="140" w:line="276" w:lineRule="auto"/>
      </w:pPr>
      <w:r>
        <w:t>O serviço web do MVP expõe as funções típicas de uma loja virtual. A descrição abaixo cobre o que a camada de aplicação atende e como cada função usa a infraestrutura provisionada.</w:t>
      </w:r>
    </w:p>
    <w:p w14:paraId="1CB17A28" w14:textId="77777777" w:rsidR="00E775EB" w:rsidRDefault="00000000">
      <w:pPr>
        <w:pStyle w:val="Ttulo2"/>
      </w:pPr>
      <w:r>
        <w:t>3.1. Funcionalidades</w:t>
      </w:r>
    </w:p>
    <w:p w14:paraId="5FA812B1" w14:textId="77777777" w:rsidR="00E775EB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>Catálogo e busca: listagem de produtos por categoria e pesquisa. As imagens vêm do S3 via CloudFront; os dados de produto vêm do RDS MariaDB.</w:t>
      </w:r>
    </w:p>
    <w:p w14:paraId="4DE1F90D" w14:textId="77777777" w:rsidR="00E775EB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>Cadastro de usuários: criação de conta com e-mail e senha. Os registros ficam no MariaDB; as senhas devem ser armazenadas com hash forte pela aplicação.</w:t>
      </w:r>
    </w:p>
    <w:p w14:paraId="711C3F03" w14:textId="77777777" w:rsidR="00E775EB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>Login e sessão: autenticação do usuário e manutenção de sessão durante a navegação.</w:t>
      </w:r>
    </w:p>
    <w:p w14:paraId="63AA4761" w14:textId="77777777" w:rsidR="00E775EB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>Carrinho de compras: adicionar, remover e atualizar itens. O estado do carrinho é mantido pela aplicação e persistido no banco.</w:t>
      </w:r>
    </w:p>
    <w:p w14:paraId="168146A8" w14:textId="77777777" w:rsidR="00E775EB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>Checkout e pedidos: finalização da compra e registro do pedido. Em produção, integra-se a um provedor de pagamento externo.</w:t>
      </w:r>
    </w:p>
    <w:p w14:paraId="78805C84" w14:textId="77777777" w:rsidR="00E775EB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>Conteúdo estático: páginas, imagens, folhas de estilo e scripts entregues pelo CloudFront a partir do bucket S3, sob o prefixo /static/.</w:t>
      </w:r>
    </w:p>
    <w:p w14:paraId="6F6A2AB6" w14:textId="77777777" w:rsidR="00E775EB" w:rsidRDefault="00000000">
      <w:pPr>
        <w:pStyle w:val="Ttulo2"/>
      </w:pPr>
      <w:r>
        <w:t>3.2. Caminho de uma requisição</w:t>
      </w:r>
    </w:p>
    <w:p w14:paraId="56F58492" w14:textId="77777777" w:rsidR="00E775EB" w:rsidRDefault="00000000">
      <w:pPr>
        <w:spacing w:after="140" w:line="276" w:lineRule="auto"/>
      </w:pPr>
      <w:r>
        <w:t>O usuário acessa a URL do CloudFront. A requisição passa pelo AWS WAF, que filtra ataques comuns e aplica limite de taxa, e pelo AWS Shield, que mitiga DDoS na borda. O CloudFront encaminha o tráfego dinâmico para a EC2 do frontend e serve o conteúdo estático direto do S3. A EC2 consulta o RDS MariaDB pela porta 3306, dentro da rede privada. O usuário nunca alcança a EC2 ou o banco diretamente: o front só aceita conexões vindas do CloudFront, e o banco só aceita conexões vindas do front.</w:t>
      </w:r>
    </w:p>
    <w:p w14:paraId="23EBCA01" w14:textId="77777777" w:rsidR="00E775EB" w:rsidRDefault="00000000">
      <w:r>
        <w:br w:type="page"/>
      </w:r>
    </w:p>
    <w:p w14:paraId="27B15099" w14:textId="77777777" w:rsidR="00E775EB" w:rsidRDefault="00000000">
      <w:pPr>
        <w:pStyle w:val="Ttulo1"/>
      </w:pPr>
      <w:r>
        <w:lastRenderedPageBreak/>
        <w:t>4. Diagrama da infraestrutura final (alvo)</w:t>
      </w:r>
    </w:p>
    <w:p w14:paraId="586DB4F4" w14:textId="77777777" w:rsidR="00E775EB" w:rsidRDefault="00000000">
      <w:pPr>
        <w:spacing w:after="140" w:line="276" w:lineRule="auto"/>
      </w:pPr>
      <w:r>
        <w:t>A arquitetura final atende os SLOs definidos no roteiro move2cloud da Mercantis: disponibilidade de 99,9% ao mês, latência p95 menor ou igual a 300 ms no pico, RTO de até 1 hora e RPO de até 15 minutos. Ela distribui a aplicação por duas Availability Zones, com balanceador de carga, auto scaling e banco em Multi-AZ.</w:t>
      </w:r>
    </w:p>
    <w:p w14:paraId="03C3D766" w14:textId="77777777" w:rsidR="00E775EB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14710A73" wp14:editId="4FAAA901">
            <wp:extent cx="5715000" cy="4171950"/>
            <wp:effectExtent l="0" t="0" r="0" b="0"/>
            <wp:docPr id="1" name="Diagrama da infraestrutura final da Mercantis" descr="Diagrama da infraestrutura final da Mercantis" title="Diagrama da infraestrutura final da Mercant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B26F8" w14:textId="77777777" w:rsidR="00E775EB" w:rsidRDefault="00000000">
      <w:pPr>
        <w:spacing w:after="220"/>
        <w:jc w:val="center"/>
      </w:pPr>
      <w:r>
        <w:rPr>
          <w:i/>
          <w:iCs/>
          <w:color w:val="555555"/>
          <w:sz w:val="18"/>
          <w:szCs w:val="18"/>
        </w:rPr>
        <w:t>Figura 1. Infraestrutura final (alvo) em duas AZs, com ALB, auto scaling e RDS Multi-AZ.</w:t>
      </w:r>
    </w:p>
    <w:p w14:paraId="1182B371" w14:textId="77777777" w:rsidR="00E775EB" w:rsidRDefault="00000000">
      <w:pPr>
        <w:pStyle w:val="Ttulo2"/>
      </w:pPr>
      <w:r>
        <w:t>4.1. Componentes da arquitetura final</w:t>
      </w:r>
    </w:p>
    <w:p w14:paraId="5E2AA421" w14:textId="77777777" w:rsidR="00E775EB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>Route 53 para DNS e roteamento, com certificado TLS no ACM.</w:t>
      </w:r>
    </w:p>
    <w:p w14:paraId="24E77B07" w14:textId="77777777" w:rsidR="00E775EB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>CloudFront, WAF e Shield Advanced na borda, com proteção DDoS reforçada.</w:t>
      </w:r>
    </w:p>
    <w:p w14:paraId="5F678ABE" w14:textId="77777777" w:rsidR="00E775EB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>Application Load Balancer público distribuindo tráfego entre as duas AZs.</w:t>
      </w:r>
    </w:p>
    <w:p w14:paraId="224274A4" w14:textId="77777777" w:rsidR="00E775EB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>Camada de aplicação escalável (ECS ou EC2 em Auto Scaling Group) em sub-redes privadas.</w:t>
      </w:r>
    </w:p>
    <w:p w14:paraId="6A817458" w14:textId="77777777" w:rsidR="00E775EB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>RDS MariaDB Multi-AZ, com standby em outra AZ para failover automático e réplicas de leitura.</w:t>
      </w:r>
    </w:p>
    <w:p w14:paraId="035939BA" w14:textId="77777777" w:rsidR="00E775EB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>S3 para estáticos e logs, ECR para imagens Docker, GuardDuty e CloudWatch para detecção e observabilidade.</w:t>
      </w:r>
    </w:p>
    <w:p w14:paraId="11083B50" w14:textId="77777777" w:rsidR="00E775EB" w:rsidRDefault="00000000">
      <w:r>
        <w:br w:type="page"/>
      </w:r>
    </w:p>
    <w:p w14:paraId="03D81C05" w14:textId="77777777" w:rsidR="00E775EB" w:rsidRDefault="00000000">
      <w:pPr>
        <w:pStyle w:val="Ttulo1"/>
      </w:pPr>
      <w:r>
        <w:lastRenderedPageBreak/>
        <w:t>5. Diagrama da infraestrutura do MVP</w:t>
      </w:r>
    </w:p>
    <w:p w14:paraId="14B7A8E3" w14:textId="77777777" w:rsidR="00E775EB" w:rsidRDefault="00000000">
      <w:pPr>
        <w:spacing w:after="140" w:line="276" w:lineRule="auto"/>
      </w:pPr>
      <w:r>
        <w:t>O MVP implementa o núcleo da arquitetura final com menos componentes, para validar segurança e funcionamento a custo baixo. A rede já nasce com duas AZs, o que prepara o terreno para o Multi-AZ sem reescrever a infraestrutura.</w:t>
      </w:r>
    </w:p>
    <w:p w14:paraId="64D6C15D" w14:textId="77777777" w:rsidR="00E775EB" w:rsidRDefault="00000000">
      <w:pPr>
        <w:spacing w:before="120" w:after="80"/>
        <w:jc w:val="center"/>
      </w:pPr>
      <w:r>
        <w:rPr>
          <w:noProof/>
        </w:rPr>
        <w:drawing>
          <wp:inline distT="0" distB="0" distL="0" distR="0" wp14:anchorId="6122734A" wp14:editId="01ADB541">
            <wp:extent cx="5715000" cy="3952875"/>
            <wp:effectExtent l="0" t="0" r="0" b="0"/>
            <wp:docPr id="2129075789" name="Diagrama da infraestrutura do MVP da Mercantis" descr="Diagrama da infraestrutura do MVP da Mercantis" title="Diagrama da infraestrutura do MVP da Mercant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4EFC5" w14:textId="77777777" w:rsidR="00E775EB" w:rsidRDefault="00000000">
      <w:pPr>
        <w:spacing w:after="220"/>
        <w:jc w:val="center"/>
      </w:pPr>
      <w:r>
        <w:rPr>
          <w:i/>
          <w:iCs/>
          <w:color w:val="555555"/>
          <w:sz w:val="18"/>
          <w:szCs w:val="18"/>
        </w:rPr>
        <w:t>Figura 2. Infraestrutura do MVP: EC2 com Docker na sub-rede pública e RDS MariaDB na privada.</w:t>
      </w:r>
    </w:p>
    <w:p w14:paraId="272F0A05" w14:textId="77777777" w:rsidR="00E775EB" w:rsidRDefault="00000000">
      <w:pPr>
        <w:pStyle w:val="Ttulo2"/>
      </w:pPr>
      <w:r>
        <w:t>5.1. Componentes do MVP</w:t>
      </w:r>
    </w:p>
    <w:p w14:paraId="52A03729" w14:textId="77777777" w:rsidR="00E775EB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>VPC 10.0.0.0/16 com sub-redes pública e privada em duas AZs (sa-east-1).</w:t>
      </w:r>
    </w:p>
    <w:p w14:paraId="6770F576" w14:textId="77777777" w:rsidR="00E775EB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>EC2 com Docker na sub-rede pública, executando o container do frontend.</w:t>
      </w:r>
    </w:p>
    <w:p w14:paraId="73859A56" w14:textId="77777777" w:rsidR="00E775EB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>RDS MariaDB na sub-rede privada, sem acesso público.</w:t>
      </w:r>
    </w:p>
    <w:p w14:paraId="677ED9B7" w14:textId="77777777" w:rsidR="00E775EB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>CloudFront com AWS WAF e AWS Shield Standard na borda.</w:t>
      </w:r>
    </w:p>
    <w:p w14:paraId="087320B8" w14:textId="77777777" w:rsidR="00E775EB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>Bucket S3 privado para estáticos, servido pelo CloudFront via Origin Access Control.</w:t>
      </w:r>
    </w:p>
    <w:p w14:paraId="43BAE126" w14:textId="77777777" w:rsidR="00E775EB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>Internet Gateway para a sub-rede pública e NAT Gateway para a saída controlada da privada.</w:t>
      </w:r>
    </w:p>
    <w:p w14:paraId="735C5262" w14:textId="77777777" w:rsidR="00E775EB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>Secrets Manager com KMS para as credenciais do banco, e VPC Flow Logs no CloudWatch.</w:t>
      </w:r>
    </w:p>
    <w:p w14:paraId="37D162CD" w14:textId="77777777" w:rsidR="00E775EB" w:rsidRDefault="00000000">
      <w:pPr>
        <w:pStyle w:val="Ttulo2"/>
      </w:pPr>
      <w:r>
        <w:t>5.2. Decisões de arquitetura e justificativas</w:t>
      </w:r>
    </w:p>
    <w:tbl>
      <w:tblPr>
        <w:tblW w:w="9360" w:type="dxa"/>
        <w:tblBorders>
          <w:top w:val="single" w:sz="1" w:space="0" w:color="BBBBBB"/>
          <w:left w:val="single" w:sz="1" w:space="0" w:color="BBBBBB"/>
          <w:bottom w:val="single" w:sz="1" w:space="0" w:color="BBBBBB"/>
          <w:right w:val="single" w:sz="1" w:space="0" w:color="BBBBBB"/>
          <w:insideH w:val="single" w:sz="1" w:space="0" w:color="BBBBBB"/>
          <w:insideV w:val="single" w:sz="1" w:space="0" w:color="BBBBB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60"/>
      </w:tblGrid>
      <w:tr w:rsidR="00E775EB" w14:paraId="2CB35E8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1F6FE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C82D35" w14:textId="77777777" w:rsidR="00E775EB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Decisão</w:t>
            </w:r>
          </w:p>
        </w:tc>
        <w:tc>
          <w:tcPr>
            <w:tcW w:w="6760" w:type="dxa"/>
            <w:shd w:val="clear" w:color="auto" w:fill="1F6FE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7B492E" w14:textId="77777777" w:rsidR="00E775EB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Justificativa</w:t>
            </w:r>
          </w:p>
        </w:tc>
      </w:tr>
      <w:tr w:rsidR="00E775EB" w14:paraId="1D41E86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3E1B69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Frontend em EC2 + Docker</w:t>
            </w:r>
          </w:p>
        </w:tc>
        <w:tc>
          <w:tcPr>
            <w:tcW w:w="67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1AE7818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Atende o requisito de container e mantém fidelidade ao ícone de EC2 do diagrama-base. Conteineriza a aplicação (refactor leve) sem o custo operacional de um cluster no MVP.</w:t>
            </w:r>
          </w:p>
        </w:tc>
      </w:tr>
      <w:tr w:rsidR="00E775EB" w14:paraId="0C17C43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47D1C9A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Banco em RDS MariaDB gerenciado</w:t>
            </w:r>
          </w:p>
        </w:tc>
        <w:tc>
          <w:tcPr>
            <w:tcW w:w="67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BEE303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Estratégia replatform: a AWS cuida de backup, patch e failover. Resolve o servidor de banco on-premises exposto e sem redundância.</w:t>
            </w:r>
          </w:p>
        </w:tc>
      </w:tr>
      <w:tr w:rsidR="00E775EB" w14:paraId="5611400F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CFD29F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Região sa-east-1 (São Paulo)</w:t>
            </w:r>
          </w:p>
        </w:tc>
        <w:tc>
          <w:tcPr>
            <w:tcW w:w="67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CFC04D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Menor latência para clientes no Brasil, coerente com um e-commerce nacional.</w:t>
            </w:r>
          </w:p>
        </w:tc>
      </w:tr>
      <w:tr w:rsidR="00E775EB" w14:paraId="084F8B4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D3637A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Banco em sub-rede privada</w:t>
            </w:r>
          </w:p>
        </w:tc>
        <w:tc>
          <w:tcPr>
            <w:tcW w:w="67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9C2BF7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Elimina o problema do banco em segmento público on-premises e bloqueia o movimento lateral entre web e dados.</w:t>
            </w:r>
          </w:p>
        </w:tc>
      </w:tr>
      <w:tr w:rsidR="00E775EB" w14:paraId="23D0224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9E255C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CloudFront + WAF + Shield</w:t>
            </w:r>
          </w:p>
        </w:tc>
        <w:tc>
          <w:tcPr>
            <w:tcW w:w="67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0C3814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Distribui estáticos por borda (resolve a lentidão regional) e inspeciona requisições da aplicação (resolve o firewall de borda sem filtragem).</w:t>
            </w:r>
          </w:p>
        </w:tc>
      </w:tr>
      <w:tr w:rsidR="00E775EB" w14:paraId="5FD640F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BF8417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Duas AZs na rede desde o MVP</w:t>
            </w:r>
          </w:p>
        </w:tc>
        <w:tc>
          <w:tcPr>
            <w:tcW w:w="67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3B23BA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Exigência do DB Subnet Group e base para o Multi-AZ da arquitetura final, sem retrabalho.</w:t>
            </w:r>
          </w:p>
        </w:tc>
      </w:tr>
    </w:tbl>
    <w:p w14:paraId="3987C6AD" w14:textId="77777777" w:rsidR="00E775EB" w:rsidRDefault="00000000">
      <w:pPr>
        <w:spacing w:after="220"/>
        <w:jc w:val="center"/>
      </w:pPr>
      <w:r>
        <w:rPr>
          <w:i/>
          <w:iCs/>
          <w:color w:val="555555"/>
          <w:sz w:val="18"/>
          <w:szCs w:val="18"/>
        </w:rPr>
        <w:t>Tabela 2. Principais decisões técnicas do MVP e suas justificativas.</w:t>
      </w:r>
    </w:p>
    <w:p w14:paraId="28DD9BD0" w14:textId="77777777" w:rsidR="00E775EB" w:rsidRDefault="00000000">
      <w:r>
        <w:br w:type="page"/>
      </w:r>
    </w:p>
    <w:p w14:paraId="58AF408B" w14:textId="77777777" w:rsidR="00E775EB" w:rsidRDefault="00000000">
      <w:pPr>
        <w:pStyle w:val="Ttulo1"/>
      </w:pPr>
      <w:r>
        <w:lastRenderedPageBreak/>
        <w:t>6. Detalhes técnicos: segurança do MVP</w:t>
      </w:r>
    </w:p>
    <w:p w14:paraId="564C075C" w14:textId="77777777" w:rsidR="00E775EB" w:rsidRDefault="00000000">
      <w:pPr>
        <w:spacing w:after="140" w:line="276" w:lineRule="auto"/>
      </w:pPr>
      <w:r>
        <w:t>A segurança do MVP segue defesa em camadas: borda, rede, instância e dados. Cada camada aplica privilégio mínimo. Esta seção detalha as regras dos Security Groups e os demais controles, incluindo os que adicionei sobre o diagrama-base.</w:t>
      </w:r>
    </w:p>
    <w:p w14:paraId="3DC33FB8" w14:textId="77777777" w:rsidR="00E775EB" w:rsidRDefault="00000000">
      <w:pPr>
        <w:pStyle w:val="Ttulo2"/>
      </w:pPr>
      <w:r>
        <w:t>6.1. Security Groups</w:t>
      </w:r>
    </w:p>
    <w:p w14:paraId="067053E2" w14:textId="77777777" w:rsidR="00E775EB" w:rsidRDefault="00000000">
      <w:pPr>
        <w:spacing w:after="140" w:line="276" w:lineRule="auto"/>
      </w:pPr>
      <w:r>
        <w:t>Os Security Groups são o firewall stateful em nível de instância. Duas regras de ouro orientam o MVP: o frontend só aceita tráfego do CloudFront, e o banco só aceita tráfego do frontend. Em vez de liberar a porta 80 para a internet inteira, a regra de entrada do frontend usa a prefix list gerenciada do CloudFront (com.amazonaws.global.cloudfront.origin-facing), de modo que somente os IPs de origem do CloudFront alcançam a EC2.</w:t>
      </w:r>
    </w:p>
    <w:p w14:paraId="1E4EB702" w14:textId="77777777" w:rsidR="00E775EB" w:rsidRDefault="00000000">
      <w:pPr>
        <w:pStyle w:val="Ttulo3"/>
      </w:pPr>
      <w:r>
        <w:t>SG do frontend (EC2)</w:t>
      </w:r>
    </w:p>
    <w:tbl>
      <w:tblPr>
        <w:tblW w:w="9360" w:type="dxa"/>
        <w:tblBorders>
          <w:top w:val="single" w:sz="1" w:space="0" w:color="BBBBBB"/>
          <w:left w:val="single" w:sz="1" w:space="0" w:color="BBBBBB"/>
          <w:bottom w:val="single" w:sz="1" w:space="0" w:color="BBBBBB"/>
          <w:right w:val="single" w:sz="1" w:space="0" w:color="BBBBBB"/>
          <w:insideH w:val="single" w:sz="1" w:space="0" w:color="BBBBBB"/>
          <w:insideV w:val="single" w:sz="1" w:space="0" w:color="BBBBB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200"/>
        <w:gridCol w:w="2860"/>
        <w:gridCol w:w="2800"/>
      </w:tblGrid>
      <w:tr w:rsidR="00E775EB" w14:paraId="53FE08F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shd w:val="clear" w:color="auto" w:fill="1F6FE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CF7A27" w14:textId="77777777" w:rsidR="00E775EB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Direção</w:t>
            </w:r>
          </w:p>
        </w:tc>
        <w:tc>
          <w:tcPr>
            <w:tcW w:w="2200" w:type="dxa"/>
            <w:shd w:val="clear" w:color="auto" w:fill="1F6FE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8E0D5F" w14:textId="77777777" w:rsidR="00E775EB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Protocolo/Porta</w:t>
            </w:r>
          </w:p>
        </w:tc>
        <w:tc>
          <w:tcPr>
            <w:tcW w:w="2860" w:type="dxa"/>
            <w:shd w:val="clear" w:color="auto" w:fill="1F6FE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AA3E23C" w14:textId="77777777" w:rsidR="00E775EB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Origem / Destino</w:t>
            </w:r>
          </w:p>
        </w:tc>
        <w:tc>
          <w:tcPr>
            <w:tcW w:w="2800" w:type="dxa"/>
            <w:shd w:val="clear" w:color="auto" w:fill="1F6FE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C2AE0C7" w14:textId="77777777" w:rsidR="00E775EB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Finalidade</w:t>
            </w:r>
          </w:p>
        </w:tc>
      </w:tr>
      <w:tr w:rsidR="00E775EB" w14:paraId="30D0EE28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AB8B74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Entrada</w:t>
            </w:r>
          </w:p>
        </w:tc>
        <w:tc>
          <w:tcPr>
            <w:tcW w:w="22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11CE29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TCP 80</w:t>
            </w:r>
          </w:p>
        </w:tc>
        <w:tc>
          <w:tcPr>
            <w:tcW w:w="28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11EDFC1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Prefix list do CloudFront</w:t>
            </w:r>
          </w:p>
        </w:tc>
        <w:tc>
          <w:tcPr>
            <w:tcW w:w="2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7A8F1C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HTTP somente do CloudFront</w:t>
            </w:r>
          </w:p>
        </w:tc>
      </w:tr>
      <w:tr w:rsidR="00E775EB" w14:paraId="41955F07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4D305C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Entrada</w:t>
            </w:r>
          </w:p>
        </w:tc>
        <w:tc>
          <w:tcPr>
            <w:tcW w:w="22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E4527FA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TCP 443</w:t>
            </w:r>
          </w:p>
        </w:tc>
        <w:tc>
          <w:tcPr>
            <w:tcW w:w="28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E1B8F38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Prefix list do CloudFront</w:t>
            </w:r>
          </w:p>
        </w:tc>
        <w:tc>
          <w:tcPr>
            <w:tcW w:w="2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2521251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HTTPS somente do CloudFront</w:t>
            </w:r>
          </w:p>
        </w:tc>
      </w:tr>
      <w:tr w:rsidR="00E775EB" w14:paraId="39D5C633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A6B72D3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Saída</w:t>
            </w:r>
          </w:p>
        </w:tc>
        <w:tc>
          <w:tcPr>
            <w:tcW w:w="22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20D5FB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Todos</w:t>
            </w:r>
          </w:p>
        </w:tc>
        <w:tc>
          <w:tcPr>
            <w:tcW w:w="28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1BDC30B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0.0.0.0/0</w:t>
            </w:r>
          </w:p>
        </w:tc>
        <w:tc>
          <w:tcPr>
            <w:tcW w:w="2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F05410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Baixar imagem Docker e patches</w:t>
            </w:r>
          </w:p>
        </w:tc>
      </w:tr>
    </w:tbl>
    <w:p w14:paraId="59216AF1" w14:textId="77777777" w:rsidR="00E775EB" w:rsidRDefault="00000000">
      <w:pPr>
        <w:spacing w:after="220"/>
        <w:jc w:val="center"/>
      </w:pPr>
      <w:r>
        <w:rPr>
          <w:i/>
          <w:iCs/>
          <w:color w:val="555555"/>
          <w:sz w:val="18"/>
          <w:szCs w:val="18"/>
        </w:rPr>
        <w:t>Tabela 3. Regras do Security Group do frontend. Não há porta 22 (SSH).</w:t>
      </w:r>
    </w:p>
    <w:p w14:paraId="72108646" w14:textId="77777777" w:rsidR="00E775EB" w:rsidRDefault="00000000">
      <w:pPr>
        <w:pStyle w:val="Ttulo3"/>
      </w:pPr>
      <w:r>
        <w:t>SG do banco de dados (RDS MariaDB)</w:t>
      </w:r>
    </w:p>
    <w:tbl>
      <w:tblPr>
        <w:tblW w:w="9360" w:type="dxa"/>
        <w:tblBorders>
          <w:top w:val="single" w:sz="1" w:space="0" w:color="BBBBBB"/>
          <w:left w:val="single" w:sz="1" w:space="0" w:color="BBBBBB"/>
          <w:bottom w:val="single" w:sz="1" w:space="0" w:color="BBBBBB"/>
          <w:right w:val="single" w:sz="1" w:space="0" w:color="BBBBBB"/>
          <w:insideH w:val="single" w:sz="1" w:space="0" w:color="BBBBBB"/>
          <w:insideV w:val="single" w:sz="1" w:space="0" w:color="BBBBB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200"/>
        <w:gridCol w:w="2860"/>
        <w:gridCol w:w="2800"/>
      </w:tblGrid>
      <w:tr w:rsidR="00E775EB" w14:paraId="0F4DC4C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shd w:val="clear" w:color="auto" w:fill="1F6FE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FC2CC1" w14:textId="77777777" w:rsidR="00E775EB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Direção</w:t>
            </w:r>
          </w:p>
        </w:tc>
        <w:tc>
          <w:tcPr>
            <w:tcW w:w="2200" w:type="dxa"/>
            <w:shd w:val="clear" w:color="auto" w:fill="1F6FE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4DD5BC" w14:textId="77777777" w:rsidR="00E775EB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Protocolo/Porta</w:t>
            </w:r>
          </w:p>
        </w:tc>
        <w:tc>
          <w:tcPr>
            <w:tcW w:w="2860" w:type="dxa"/>
            <w:shd w:val="clear" w:color="auto" w:fill="1F6FE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40D5D3E" w14:textId="77777777" w:rsidR="00E775EB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Origem / Destino</w:t>
            </w:r>
          </w:p>
        </w:tc>
        <w:tc>
          <w:tcPr>
            <w:tcW w:w="2800" w:type="dxa"/>
            <w:shd w:val="clear" w:color="auto" w:fill="1F6FE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FBF0C75" w14:textId="77777777" w:rsidR="00E775EB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Finalidade</w:t>
            </w:r>
          </w:p>
        </w:tc>
      </w:tr>
      <w:tr w:rsidR="00E775EB" w14:paraId="30E91DF3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5833C98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Entrada</w:t>
            </w:r>
          </w:p>
        </w:tc>
        <w:tc>
          <w:tcPr>
            <w:tcW w:w="22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B86A70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TCP 3306</w:t>
            </w:r>
          </w:p>
        </w:tc>
        <w:tc>
          <w:tcPr>
            <w:tcW w:w="28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D80EA5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SG do frontend (referência)</w:t>
            </w:r>
          </w:p>
        </w:tc>
        <w:tc>
          <w:tcPr>
            <w:tcW w:w="2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B6C67A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MariaDB apenas a partir do frontend</w:t>
            </w:r>
          </w:p>
        </w:tc>
      </w:tr>
      <w:tr w:rsidR="00E775EB" w14:paraId="29A56796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2EAEC4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Saída</w:t>
            </w:r>
          </w:p>
        </w:tc>
        <w:tc>
          <w:tcPr>
            <w:tcW w:w="22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F39DF2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Todos</w:t>
            </w:r>
          </w:p>
        </w:tc>
        <w:tc>
          <w:tcPr>
            <w:tcW w:w="28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FF39C8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0.0.0.0/0</w:t>
            </w:r>
          </w:p>
        </w:tc>
        <w:tc>
          <w:tcPr>
            <w:tcW w:w="2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58AB04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Manutenção gerenciada pelo RDS</w:t>
            </w:r>
          </w:p>
        </w:tc>
      </w:tr>
    </w:tbl>
    <w:p w14:paraId="4983A2A2" w14:textId="77777777" w:rsidR="00E775EB" w:rsidRDefault="00000000">
      <w:pPr>
        <w:spacing w:after="220"/>
        <w:jc w:val="center"/>
      </w:pPr>
      <w:r>
        <w:rPr>
          <w:i/>
          <w:iCs/>
          <w:color w:val="555555"/>
          <w:sz w:val="18"/>
          <w:szCs w:val="18"/>
        </w:rPr>
        <w:t>Tabela 4. Regras do Security Group do banco. A origem é o SG do front, não um CIDR.</w:t>
      </w:r>
    </w:p>
    <w:p w14:paraId="5A030315" w14:textId="77777777" w:rsidR="00E775EB" w:rsidRDefault="00000000">
      <w:pPr>
        <w:spacing w:after="140" w:line="276" w:lineRule="auto"/>
      </w:pPr>
      <w:r>
        <w:t>Referenciar o Security Group de origem, em vez de um CIDR, garante que apenas as instâncias do frontend conversem com o banco, mesmo que os endereços mudem. Essa é a barreira que faltava no ambiente on-premises, onde web e banco dividiam o mesmo segmento público.</w:t>
      </w:r>
    </w:p>
    <w:p w14:paraId="409A1B7D" w14:textId="77777777" w:rsidR="00E775EB" w:rsidRDefault="00000000">
      <w:pPr>
        <w:pStyle w:val="Ttulo2"/>
      </w:pPr>
      <w:r>
        <w:t>6.2. Controles adicionais de segurança</w:t>
      </w:r>
    </w:p>
    <w:p w14:paraId="731D6299" w14:textId="77777777" w:rsidR="00E775EB" w:rsidRDefault="00000000">
      <w:pPr>
        <w:spacing w:after="140" w:line="276" w:lineRule="auto"/>
      </w:pPr>
      <w:r>
        <w:t>Sobre o diagrama-base, acrescentei os controles abaixo para cobrir rede, instância, dados e auditoria.</w:t>
      </w:r>
    </w:p>
    <w:tbl>
      <w:tblPr>
        <w:tblW w:w="9360" w:type="dxa"/>
        <w:tblBorders>
          <w:top w:val="single" w:sz="1" w:space="0" w:color="BBBBBB"/>
          <w:left w:val="single" w:sz="1" w:space="0" w:color="BBBBBB"/>
          <w:bottom w:val="single" w:sz="1" w:space="0" w:color="BBBBBB"/>
          <w:right w:val="single" w:sz="1" w:space="0" w:color="BBBBBB"/>
          <w:insideH w:val="single" w:sz="1" w:space="0" w:color="BBBBBB"/>
          <w:insideV w:val="single" w:sz="1" w:space="0" w:color="BBBBB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5260"/>
        <w:gridCol w:w="1800"/>
      </w:tblGrid>
      <w:tr w:rsidR="00E775EB" w14:paraId="04D664F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shd w:val="clear" w:color="auto" w:fill="1F6FE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5C7FC4" w14:textId="77777777" w:rsidR="00E775EB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Controle</w:t>
            </w:r>
          </w:p>
        </w:tc>
        <w:tc>
          <w:tcPr>
            <w:tcW w:w="5260" w:type="dxa"/>
            <w:shd w:val="clear" w:color="auto" w:fill="1F6FE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9E6987" w14:textId="77777777" w:rsidR="00E775EB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O que faz</w:t>
            </w:r>
          </w:p>
        </w:tc>
        <w:tc>
          <w:tcPr>
            <w:tcW w:w="1800" w:type="dxa"/>
            <w:shd w:val="clear" w:color="auto" w:fill="1F6FEB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4434C63" w14:textId="77777777" w:rsidR="00E775EB" w:rsidRDefault="00000000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Camada</w:t>
            </w:r>
          </w:p>
        </w:tc>
      </w:tr>
      <w:tr w:rsidR="00E775EB" w14:paraId="2FA2BFDD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FECC40E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Network ACLs</w:t>
            </w:r>
          </w:p>
        </w:tc>
        <w:tc>
          <w:tcPr>
            <w:tcW w:w="52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2A22E1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Filtro stateless por sub-rede. A NACL privada só aceita 3306 de dentro da VPC e portas efêmeras; bloqueia entrada direta da internet.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88EAC1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Rede</w:t>
            </w:r>
          </w:p>
        </w:tc>
      </w:tr>
      <w:tr w:rsidR="00E775EB" w14:paraId="0F51DD0D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1A73B48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NAT Gateway</w:t>
            </w:r>
          </w:p>
        </w:tc>
        <w:tc>
          <w:tcPr>
            <w:tcW w:w="52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9A0342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Dá saída à sub-rede privada sem aceitar conexões de entrada. O banco nunca fica exposto.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A7BED77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Rede</w:t>
            </w:r>
          </w:p>
        </w:tc>
      </w:tr>
      <w:tr w:rsidR="00E775EB" w14:paraId="04C372B7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9A0800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lastRenderedPageBreak/>
              <w:t>WAF com regras gerenciadas</w:t>
            </w:r>
          </w:p>
        </w:tc>
        <w:tc>
          <w:tcPr>
            <w:tcW w:w="52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31BE64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Bloqueia ataques comuns (OWASP), IPs de má reputação e aplica rate limit de 2000 requisições por IP.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61ECB9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Borda</w:t>
            </w:r>
          </w:p>
        </w:tc>
      </w:tr>
      <w:tr w:rsidR="00E775EB" w14:paraId="73261F2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149379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HTTPS obrigatório (TLS)</w:t>
            </w:r>
          </w:p>
        </w:tc>
        <w:tc>
          <w:tcPr>
            <w:tcW w:w="52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6A5D41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CloudFront redireciona todo acesso para HTTPS, atendendo o SLO de 100% do tráfego com TLS.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88475A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Borda</w:t>
            </w:r>
          </w:p>
        </w:tc>
      </w:tr>
      <w:tr w:rsidR="00E775EB" w14:paraId="5005B685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855A95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RDS criptografado (KMS)</w:t>
            </w:r>
          </w:p>
        </w:tc>
        <w:tc>
          <w:tcPr>
            <w:tcW w:w="52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F0CA17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Armazenamento do banco cifrado em repouso com chave KMS dedicada e rotação habilitada.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85A488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Dados</w:t>
            </w:r>
          </w:p>
        </w:tc>
      </w:tr>
      <w:tr w:rsidR="00E775EB" w14:paraId="2F7F3A5D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37E03D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S3 privado com OAC</w:t>
            </w:r>
          </w:p>
        </w:tc>
        <w:tc>
          <w:tcPr>
            <w:tcW w:w="52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A2486C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Bucket sem acesso público, criptografado e versionado; só o CloudFront lê os objetos.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4C11CEA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Dados</w:t>
            </w:r>
          </w:p>
        </w:tc>
      </w:tr>
      <w:tr w:rsidR="00E775EB" w14:paraId="72025A0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EED747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Secrets Manager</w:t>
            </w:r>
          </w:p>
        </w:tc>
        <w:tc>
          <w:tcPr>
            <w:tcW w:w="52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C5A24C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A senha do banco é gerada aleatoriamente e guardada em cofre, nunca em texto plano no código.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7F01FD8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Dados</w:t>
            </w:r>
          </w:p>
        </w:tc>
      </w:tr>
      <w:tr w:rsidR="00E775EB" w14:paraId="0AEF0F4B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4510CA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IAM com privilégio mínimo</w:t>
            </w:r>
          </w:p>
        </w:tc>
        <w:tc>
          <w:tcPr>
            <w:tcW w:w="52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A20998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A EC2 só pode ler o bucket de estáticos e o segredo do banco, via perfil de instância.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E5701DC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Instância</w:t>
            </w:r>
          </w:p>
        </w:tc>
      </w:tr>
      <w:tr w:rsidR="00E775EB" w14:paraId="6B6899EB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2A76D5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SSM Session Manager</w:t>
            </w:r>
          </w:p>
        </w:tc>
        <w:tc>
          <w:tcPr>
            <w:tcW w:w="52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81D80E7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Acesso administrativo à EC2 sem abrir a porta 22. Elimina a superfície de ataque do SSH.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E6E840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Instância</w:t>
            </w:r>
          </w:p>
        </w:tc>
      </w:tr>
      <w:tr w:rsidR="00E775EB" w14:paraId="60DA85C1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E5AED4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IMDSv2 obrigatório</w:t>
            </w:r>
          </w:p>
        </w:tc>
        <w:tc>
          <w:tcPr>
            <w:tcW w:w="52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70C891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Protege as credenciais da instância contra roubo por SSRF.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CB3C72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Instância</w:t>
            </w:r>
          </w:p>
        </w:tc>
      </w:tr>
      <w:tr w:rsidR="00E775EB" w14:paraId="5845A84D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A4A1AA0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Disco EBS criptografado</w:t>
            </w:r>
          </w:p>
        </w:tc>
        <w:tc>
          <w:tcPr>
            <w:tcW w:w="52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EC39FA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Volume raiz da EC2 cifrado em repouso.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78FB18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Instância</w:t>
            </w:r>
          </w:p>
        </w:tc>
      </w:tr>
      <w:tr w:rsidR="00E775EB" w14:paraId="6B1974A7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5670FC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VPC Flow Logs</w:t>
            </w:r>
          </w:p>
        </w:tc>
        <w:tc>
          <w:tcPr>
            <w:tcW w:w="526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393350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Registra todo o tráfego de rede no CloudWatch para auditoria e investigação de incidentes.</w:t>
            </w:r>
          </w:p>
        </w:tc>
        <w:tc>
          <w:tcPr>
            <w:tcW w:w="1800" w:type="dxa"/>
            <w:shd w:val="clear" w:color="auto" w:fill="FFFFFF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724DA4" w14:textId="77777777" w:rsidR="00E775EB" w:rsidRDefault="00000000">
            <w:pPr>
              <w:spacing w:line="252" w:lineRule="auto"/>
            </w:pPr>
            <w:r>
              <w:rPr>
                <w:color w:val="111111"/>
                <w:sz w:val="19"/>
                <w:szCs w:val="19"/>
              </w:rPr>
              <w:t>Auditoria</w:t>
            </w:r>
          </w:p>
        </w:tc>
      </w:tr>
    </w:tbl>
    <w:p w14:paraId="4A9D100C" w14:textId="77777777" w:rsidR="00E775EB" w:rsidRDefault="00000000">
      <w:pPr>
        <w:spacing w:after="220"/>
        <w:jc w:val="center"/>
      </w:pPr>
      <w:r>
        <w:rPr>
          <w:i/>
          <w:iCs/>
          <w:color w:val="555555"/>
          <w:sz w:val="18"/>
          <w:szCs w:val="18"/>
        </w:rPr>
        <w:t>Tabela 5. Controles de segurança adicionados ao MVP, por camada.</w:t>
      </w:r>
    </w:p>
    <w:p w14:paraId="067D6D10" w14:textId="77777777" w:rsidR="00E775EB" w:rsidRDefault="00000000">
      <w:pPr>
        <w:spacing w:after="140" w:line="276" w:lineRule="auto"/>
      </w:pPr>
      <w:r>
        <w:rPr>
          <w:b/>
          <w:bCs/>
        </w:rPr>
        <w:t xml:space="preserve">Mapeamento com o checklist de Dia 1 do move2cloud. </w:t>
      </w:r>
      <w:r>
        <w:t>O roteiro da disciplina exige seis cuidados no primeiro dia: contas com MFA, WAF, HTTPS em todo o tráfego, dados criptografados em repouso e em trânsito, segredos em cofre e logs centralizados. O MVP cobre WAF, HTTPS, criptografia (KMS no RDS e SSE no S3), Secrets Manager e Flow Logs. O MFA fica no nível da conta AWS e do usuário IAM que executa o Terraform, conforme orienta o README.</w:t>
      </w:r>
    </w:p>
    <w:p w14:paraId="14CDA3FB" w14:textId="77777777" w:rsidR="00E775EB" w:rsidRDefault="00000000">
      <w:r>
        <w:br w:type="page"/>
      </w:r>
    </w:p>
    <w:p w14:paraId="30188B42" w14:textId="77777777" w:rsidR="00E775EB" w:rsidRDefault="00000000">
      <w:pPr>
        <w:pStyle w:val="Ttulo1"/>
      </w:pPr>
      <w:r>
        <w:lastRenderedPageBreak/>
        <w:t>7. Conclusão</w:t>
      </w:r>
    </w:p>
    <w:p w14:paraId="38A329DC" w14:textId="77777777" w:rsidR="00E775EB" w:rsidRDefault="00000000">
      <w:pPr>
        <w:spacing w:after="140" w:line="276" w:lineRule="auto"/>
      </w:pPr>
      <w:r>
        <w:t>O MVP resolve os três problemas que a consultoria apontou no ambiente on-premises da Mercantis. A indisponibilidade por falta de energia e a fragilidade física dão lugar à infraestrutura gerenciada da AWS, com backups automáticos e duas AZs já provisionadas na rede. O banco sai do segmento público e passa a viver em sub-rede privada, acessível apenas pelo frontend, o que fecha o caminho de movimento lateral. A borda ganha WAF, Shield e CloudFront, que inspecionam requisições, mitigam DDoS e distribuem conteúdo estático por regiões, atacando tanto a falta de filtragem quanto a lentidão nos picos.</w:t>
      </w:r>
    </w:p>
    <w:p w14:paraId="6689B051" w14:textId="77777777" w:rsidR="00E775EB" w:rsidRDefault="00000000">
      <w:pPr>
        <w:spacing w:after="140" w:line="276" w:lineRule="auto"/>
      </w:pPr>
      <w:r>
        <w:t>O Terraform entrega tudo isso como código reproduzível: um terraform apply sobe a infraestrutura, e um terraform destroy a remove. A separação em arquivos por domínio, como rede, segurança, compute, dados e borda, facilita a evolução para a arquitetura final, que acrescenta balanceador, auto scaling e Multi-AZ para cumprir integralmente os SLOs de 99,9% de disponibilidade, p95 de 300 ms, RTO de 1 hora e RPO de 15 minutos.</w:t>
      </w:r>
    </w:p>
    <w:p w14:paraId="4B3DF3A2" w14:textId="77777777" w:rsidR="00E775EB" w:rsidRDefault="00000000">
      <w:pPr>
        <w:spacing w:after="140" w:line="276" w:lineRule="auto"/>
      </w:pPr>
      <w:r>
        <w:t>O próximo passo natural é publicar a imagem real do portal no ECR, ativar o Multi-AZ no RDS e introduzir o Application Load Balancer com auto scaling. A base de segurança e rede do MVP sustenta essa transição sem retrabalho.</w:t>
      </w:r>
    </w:p>
    <w:p w14:paraId="22B87062" w14:textId="77777777" w:rsidR="00E775EB" w:rsidRDefault="00000000">
      <w:r>
        <w:br w:type="page"/>
      </w:r>
    </w:p>
    <w:p w14:paraId="18BC33F9" w14:textId="77777777" w:rsidR="00E775EB" w:rsidRDefault="00000000">
      <w:pPr>
        <w:pStyle w:val="Ttulo1"/>
      </w:pPr>
      <w:r>
        <w:lastRenderedPageBreak/>
        <w:t>Referências</w:t>
      </w:r>
    </w:p>
    <w:p w14:paraId="07229F2B" w14:textId="04F0C866" w:rsidR="00E775EB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>Estudo de caso Mercantis (TI5A — Cloud Computing, ESPM 2026-I).</w:t>
      </w:r>
    </w:p>
    <w:p w14:paraId="5640E194" w14:textId="08239EC0" w:rsidR="00E775EB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>Roteiro Move2Cloud da Mercantis: metas, SLOs, estratégias de migração e checklist de Dia 1.</w:t>
      </w:r>
    </w:p>
    <w:p w14:paraId="121AC402" w14:textId="718D1F8F" w:rsidR="00E775EB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>AWS Well-Architected Framework: pilar de segurança.</w:t>
      </w:r>
    </w:p>
    <w:p w14:paraId="27DE4104" w14:textId="74FE88EE" w:rsidR="00E775EB" w:rsidRDefault="00000000">
      <w:pPr>
        <w:pStyle w:val="PargrafodaLista"/>
        <w:numPr>
          <w:ilvl w:val="0"/>
          <w:numId w:val="2"/>
        </w:numPr>
        <w:spacing w:after="80" w:line="268" w:lineRule="auto"/>
      </w:pPr>
      <w:r>
        <w:t>Web Application Hosting in the AWS Cloud (whitepaper de referência).</w:t>
      </w:r>
    </w:p>
    <w:sectPr w:rsidR="00E775EB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48B9EF" w14:textId="77777777" w:rsidR="009D2BC4" w:rsidRDefault="009D2BC4">
      <w:r>
        <w:separator/>
      </w:r>
    </w:p>
  </w:endnote>
  <w:endnote w:type="continuationSeparator" w:id="0">
    <w:p w14:paraId="2E3D76C8" w14:textId="77777777" w:rsidR="009D2BC4" w:rsidRDefault="009D2B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4AE932" w14:textId="77777777" w:rsidR="00E775EB" w:rsidRDefault="00000000">
    <w:pPr>
      <w:jc w:val="center"/>
    </w:pPr>
    <w:r>
      <w:rPr>
        <w:color w:val="888888"/>
        <w:sz w:val="16"/>
        <w:szCs w:val="16"/>
      </w:rPr>
      <w:t xml:space="preserve">Página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DE2D6B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de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NUMPAGES</w:instrText>
    </w:r>
    <w:r>
      <w:rPr>
        <w:color w:val="888888"/>
        <w:sz w:val="16"/>
        <w:szCs w:val="16"/>
      </w:rPr>
      <w:fldChar w:fldCharType="separate"/>
    </w:r>
    <w:r w:rsidR="00DE2D6B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46A262" w14:textId="77777777" w:rsidR="009D2BC4" w:rsidRDefault="009D2BC4">
      <w:r>
        <w:separator/>
      </w:r>
    </w:p>
  </w:footnote>
  <w:footnote w:type="continuationSeparator" w:id="0">
    <w:p w14:paraId="3DEB5E94" w14:textId="77777777" w:rsidR="009D2BC4" w:rsidRDefault="009D2BC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C34EA" w14:textId="77777777" w:rsidR="00E775EB" w:rsidRDefault="00000000">
    <w:pPr>
      <w:pBdr>
        <w:bottom w:val="single" w:sz="4" w:space="4" w:color="1F6FEB"/>
      </w:pBdr>
      <w:jc w:val="right"/>
    </w:pPr>
    <w:r>
      <w:rPr>
        <w:color w:val="888888"/>
        <w:sz w:val="16"/>
        <w:szCs w:val="16"/>
      </w:rPr>
      <w:t>Mercantis · MVP na AWS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B5403"/>
    <w:multiLevelType w:val="hybridMultilevel"/>
    <w:tmpl w:val="0A3A8E3A"/>
    <w:lvl w:ilvl="0" w:tplc="D78E0AA8">
      <w:start w:val="1"/>
      <w:numFmt w:val="bullet"/>
      <w:lvlText w:val="●"/>
      <w:lvlJc w:val="left"/>
      <w:pPr>
        <w:ind w:left="720" w:hanging="360"/>
      </w:pPr>
    </w:lvl>
    <w:lvl w:ilvl="1" w:tplc="3F60BDCA">
      <w:start w:val="1"/>
      <w:numFmt w:val="bullet"/>
      <w:lvlText w:val="○"/>
      <w:lvlJc w:val="left"/>
      <w:pPr>
        <w:ind w:left="1440" w:hanging="360"/>
      </w:pPr>
    </w:lvl>
    <w:lvl w:ilvl="2" w:tplc="8B12992A">
      <w:start w:val="1"/>
      <w:numFmt w:val="bullet"/>
      <w:lvlText w:val="■"/>
      <w:lvlJc w:val="left"/>
      <w:pPr>
        <w:ind w:left="2160" w:hanging="360"/>
      </w:pPr>
    </w:lvl>
    <w:lvl w:ilvl="3" w:tplc="4C62DCDA">
      <w:start w:val="1"/>
      <w:numFmt w:val="bullet"/>
      <w:lvlText w:val="●"/>
      <w:lvlJc w:val="left"/>
      <w:pPr>
        <w:ind w:left="2880" w:hanging="360"/>
      </w:pPr>
    </w:lvl>
    <w:lvl w:ilvl="4" w:tplc="31643CB6">
      <w:start w:val="1"/>
      <w:numFmt w:val="bullet"/>
      <w:lvlText w:val="○"/>
      <w:lvlJc w:val="left"/>
      <w:pPr>
        <w:ind w:left="3600" w:hanging="360"/>
      </w:pPr>
    </w:lvl>
    <w:lvl w:ilvl="5" w:tplc="71125480">
      <w:start w:val="1"/>
      <w:numFmt w:val="bullet"/>
      <w:lvlText w:val="■"/>
      <w:lvlJc w:val="left"/>
      <w:pPr>
        <w:ind w:left="4320" w:hanging="360"/>
      </w:pPr>
    </w:lvl>
    <w:lvl w:ilvl="6" w:tplc="3EDCE4E8">
      <w:start w:val="1"/>
      <w:numFmt w:val="bullet"/>
      <w:lvlText w:val="●"/>
      <w:lvlJc w:val="left"/>
      <w:pPr>
        <w:ind w:left="5040" w:hanging="360"/>
      </w:pPr>
    </w:lvl>
    <w:lvl w:ilvl="7" w:tplc="3B9E6D92">
      <w:start w:val="1"/>
      <w:numFmt w:val="bullet"/>
      <w:lvlText w:val="●"/>
      <w:lvlJc w:val="left"/>
      <w:pPr>
        <w:ind w:left="5760" w:hanging="360"/>
      </w:pPr>
    </w:lvl>
    <w:lvl w:ilvl="8" w:tplc="D77098C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2057EAD"/>
    <w:multiLevelType w:val="hybridMultilevel"/>
    <w:tmpl w:val="088E96CC"/>
    <w:lvl w:ilvl="0" w:tplc="A08C8882">
      <w:start w:val="1"/>
      <w:numFmt w:val="bullet"/>
      <w:lvlText w:val="•"/>
      <w:lvlJc w:val="left"/>
      <w:pPr>
        <w:ind w:left="600" w:hanging="280"/>
      </w:pPr>
    </w:lvl>
    <w:lvl w:ilvl="1" w:tplc="6A38403A">
      <w:numFmt w:val="decimal"/>
      <w:lvlText w:val=""/>
      <w:lvlJc w:val="left"/>
    </w:lvl>
    <w:lvl w:ilvl="2" w:tplc="7226A7A4">
      <w:numFmt w:val="decimal"/>
      <w:lvlText w:val=""/>
      <w:lvlJc w:val="left"/>
    </w:lvl>
    <w:lvl w:ilvl="3" w:tplc="CF5CA59E">
      <w:numFmt w:val="decimal"/>
      <w:lvlText w:val=""/>
      <w:lvlJc w:val="left"/>
    </w:lvl>
    <w:lvl w:ilvl="4" w:tplc="22D6B412">
      <w:numFmt w:val="decimal"/>
      <w:lvlText w:val=""/>
      <w:lvlJc w:val="left"/>
    </w:lvl>
    <w:lvl w:ilvl="5" w:tplc="9B1898A0">
      <w:numFmt w:val="decimal"/>
      <w:lvlText w:val=""/>
      <w:lvlJc w:val="left"/>
    </w:lvl>
    <w:lvl w:ilvl="6" w:tplc="DD9E905A">
      <w:numFmt w:val="decimal"/>
      <w:lvlText w:val=""/>
      <w:lvlJc w:val="left"/>
    </w:lvl>
    <w:lvl w:ilvl="7" w:tplc="70F4D1F2">
      <w:numFmt w:val="decimal"/>
      <w:lvlText w:val=""/>
      <w:lvlJc w:val="left"/>
    </w:lvl>
    <w:lvl w:ilvl="8" w:tplc="DC2AF9FC">
      <w:numFmt w:val="decimal"/>
      <w:lvlText w:val=""/>
      <w:lvlJc w:val="left"/>
    </w:lvl>
  </w:abstractNum>
  <w:num w:numId="1" w16cid:durableId="1447968068">
    <w:abstractNumId w:val="0"/>
    <w:lvlOverride w:ilvl="0">
      <w:startOverride w:val="1"/>
    </w:lvlOverride>
  </w:num>
  <w:num w:numId="2" w16cid:durableId="69068607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75EB"/>
    <w:rsid w:val="009D2BC4"/>
    <w:rsid w:val="00CC27FE"/>
    <w:rsid w:val="00DE2D6B"/>
    <w:rsid w:val="00E775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A8FD23"/>
  <w15:docId w15:val="{B5367189-99CD-41E1-A19D-F3C1798B18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60" w:after="160"/>
      <w:outlineLvl w:val="0"/>
    </w:pPr>
    <w:rPr>
      <w:b/>
      <w:bCs/>
      <w:color w:val="1F6FEB"/>
      <w:sz w:val="32"/>
      <w:szCs w:val="32"/>
    </w:rPr>
  </w:style>
  <w:style w:type="paragraph" w:styleId="Ttulo2">
    <w:name w:val="heading 2"/>
    <w:uiPriority w:val="9"/>
    <w:unhideWhenUsed/>
    <w:qFormat/>
    <w:pPr>
      <w:spacing w:before="200" w:after="120"/>
      <w:outlineLvl w:val="1"/>
    </w:pPr>
    <w:rPr>
      <w:b/>
      <w:bCs/>
      <w:color w:val="232F3E"/>
      <w:sz w:val="26"/>
      <w:szCs w:val="26"/>
    </w:rPr>
  </w:style>
  <w:style w:type="paragraph" w:styleId="Ttulo3">
    <w:name w:val="heading 3"/>
    <w:uiPriority w:val="9"/>
    <w:unhideWhenUsed/>
    <w:qFormat/>
    <w:pPr>
      <w:spacing w:before="140" w:after="80"/>
      <w:outlineLvl w:val="2"/>
    </w:pPr>
    <w:rPr>
      <w:b/>
      <w:bCs/>
      <w:color w:val="444444"/>
      <w:sz w:val="23"/>
      <w:szCs w:val="23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2176</Words>
  <Characters>11753</Characters>
  <Application>Microsoft Office Word</Application>
  <DocSecurity>0</DocSecurity>
  <Lines>97</Lines>
  <Paragraphs>27</Paragraphs>
  <ScaleCrop>false</ScaleCrop>
  <Company/>
  <LinksUpToDate>false</LinksUpToDate>
  <CharactersWithSpaces>13902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Documentação do MVP — Mercantis</dc:title>
  <dc:creator>Mercantis MVP</dc:creator>
  <cp:lastModifiedBy>LUIZ FELIPE PIMENTA BERRETTINI</cp:lastModifiedBy>
  <cp:revision>2</cp:revision>
  <dcterms:created xsi:type="dcterms:W3CDTF">2026-06-10T13:33:00Z</dcterms:created>
  <dcterms:modified xsi:type="dcterms:W3CDTF">2026-06-10T13:51:00Z</dcterms:modified>
</cp:coreProperties>
</file>