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pPr>
      <w:r>
        <w:rPr>
          <w:rFonts w:ascii="Arial" w:cs="Arial" w:eastAsia="Arial" w:hAnsi="Arial"/>
          <w:b/>
          <w:bCs/>
          <w:color w:val="111111"/>
          <w:sz w:val="56"/>
          <w:szCs w:val="56"/>
        </w:rPr>
        <w:t xml:space="preserve">GSC Revenue Engine — Copy Workshop</w:t>
      </w:r>
    </w:p>
    <w:p>
      <w:pPr>
        <w:spacing w:after="120" w:before="0"/>
      </w:pPr>
      <w:r>
        <w:rPr>
          <w:rFonts w:ascii="Arial" w:cs="Arial" w:eastAsia="Arial" w:hAnsi="Arial"/>
          <w:color w:val="AAAAAA"/>
          <w:sz w:val="22"/>
          <w:szCs w:val="22"/>
        </w:rPr>
        <w:t xml:space="preserve">Section Copy Document  ·  v1.0  ·  For Review</w:t>
      </w:r>
    </w:p>
    <w:p>
      <w:pPr>
        <w:spacing w:after="600" w:before="0"/>
      </w:pPr>
      <w:r>
        <w:rPr>
          <w:rFonts w:ascii="Arial" w:cs="Arial" w:eastAsia="Arial" w:hAnsi="Arial"/>
          <w:color w:val="444444"/>
          <w:sz w:val="22"/>
          <w:szCs w:val="22"/>
        </w:rPr>
        <w:t xml:space="preserve">This document covers: (1) The full Revenue Engine / What You Get section, (2) Seth Berge standalone section, (3) Dr. Sean Arora standalone section, and (4) WIIFM recap of both inside the value stack. All copy is written for review before HTML implementation.</w:t>
      </w:r>
    </w:p>
    <w:p>
      <w:pPr>
        <w:pBdr>
          <w:left w:val="single" w:color="C8923A" w:sz="18" w:space="8"/>
        </w:pBdr>
        <w:shd w:fill="FFF8EE" w:val="clear"/>
        <w:spacing w:after="80" w:before="80"/>
        <w:ind w:left="360"/>
      </w:pPr>
      <w:r>
        <w:rPr>
          <w:rFonts w:ascii="Arial" w:cs="Arial" w:eastAsia="Arial" w:hAnsi="Arial"/>
          <w:i/>
          <w:iCs/>
          <w:color w:val="C8923A"/>
          <w:sz w:val="20"/>
          <w:szCs w:val="20"/>
        </w:rPr>
        <w:t xml:space="preserve">✎  COPY NOTE: Gold notes throughout explain copy decisions. Remove before publishing. Blue highlights indicate Seth or Dr. Arora attribution anchors.</w:t>
      </w:r>
    </w:p>
    <w:p>
      <w:pPr>
        <w:pBdr>
          <w:bottom w:val="single" w:color="C8923A" w:sz="6" w:space="1"/>
        </w:pBdr>
        <w:spacing w:after="400" w:before="400"/>
      </w:pPr>
    </w:p>
    <w:p>
      <w:pPr>
        <w:spacing w:after="120" w:before="560"/>
      </w:pPr>
      <w:r>
        <w:rPr>
          <w:rFonts w:ascii="Arial" w:cs="Arial" w:eastAsia="Arial" w:hAnsi="Arial"/>
          <w:b/>
          <w:bCs/>
          <w:color w:val="C8923A"/>
          <w:sz w:val="18"/>
          <w:szCs w:val="18"/>
        </w:rPr>
        <w:t xml:space="preserve">PAGE ARCHITECTURE — RECOMMENDED SECTION ORDER</w:t>
      </w:r>
    </w:p>
    <w:p>
      <w:pPr>
        <w:pStyle w:val="Heading2"/>
        <w:spacing w:after="200" w:before="80"/>
      </w:pPr>
      <w:r>
        <w:rPr>
          <w:rFonts w:ascii="Arial" w:cs="Arial" w:eastAsia="Arial" w:hAnsi="Arial"/>
          <w:b/>
          <w:bCs/>
          <w:color w:val="111111"/>
          <w:sz w:val="40"/>
          <w:szCs w:val="40"/>
        </w:rPr>
        <w:t xml:space="preserve">How These Sections Fit on the Full Page</w:t>
      </w:r>
    </w:p>
    <w:p>
      <w:pPr>
        <w:spacing w:after="140" w:before="60"/>
      </w:pPr>
      <w:r>
        <w:rPr>
          <w:rFonts w:ascii="Arial" w:cs="Arial" w:eastAsia="Arial" w:hAnsi="Arial"/>
          <w:color w:val="444444"/>
          <w:sz w:val="24"/>
          <w:szCs w:val="24"/>
        </w:rPr>
        <w:t xml:space="preserve">Based on the funnel goal (prove $100K license value, eliminate objections, drive territory call), here is the recommended order for this cluster of sections:</w:t>
      </w:r>
    </w:p>
    <w:p>
      <w:pPr>
        <w:spacing w:after="60" w:before="120"/>
      </w:pPr>
      <w:r>
        <w:rPr>
          <w:rFonts w:ascii="Arial" w:cs="Arial" w:eastAsia="Arial" w:hAnsi="Arial"/>
          <w:b/>
          <w:bCs/>
          <w:color w:val="111111"/>
          <w:sz w:val="24"/>
          <w:szCs w:val="24"/>
        </w:rPr>
        <w:t xml:space="preserve">Recommended sequence:</w:t>
      </w:r>
    </w:p>
    <w:p>
      <w:pPr>
        <w:pStyle w:val="ListParagraph"/>
        <w:numPr>
          <w:ilvl w:val="0"/>
          <w:numId w:val="2"/>
        </w:numPr>
        <w:spacing w:after="60" w:before="60"/>
      </w:pPr>
      <w:r>
        <w:rPr>
          <w:rFonts w:ascii="Arial" w:cs="Arial" w:eastAsia="Arial" w:hAnsi="Arial"/>
          <w:b/>
          <w:bCs/>
          <w:color w:val="111111"/>
          <w:sz w:val="24"/>
          <w:szCs w:val="24"/>
        </w:rPr>
        <w:t xml:space="preserve">Section A —  </w:t>
      </w:r>
      <w:r>
        <w:rPr>
          <w:rFonts w:ascii="Arial" w:cs="Arial" w:eastAsia="Arial" w:hAnsi="Arial"/>
          <w:color w:val="444444"/>
          <w:sz w:val="24"/>
          <w:szCs w:val="24"/>
        </w:rPr>
        <w:t xml:space="preserve">Revenue Engine / Value Stack</w:t>
      </w:r>
    </w:p>
    <w:p>
      <w:pPr>
        <w:pStyle w:val="ListParagraph"/>
        <w:numPr>
          <w:ilvl w:val="0"/>
          <w:numId w:val="3"/>
        </w:numPr>
        <w:spacing w:after="40" w:before="40"/>
      </w:pPr>
      <w:r>
        <w:rPr>
          <w:rFonts w:ascii="Arial" w:cs="Arial" w:eastAsia="Arial" w:hAnsi="Arial"/>
          <w:color w:val="777777"/>
          <w:sz w:val="22"/>
          <w:szCs w:val="22"/>
        </w:rPr>
        <w:t xml:space="preserve">Full list of what they get, value anchors, Seth + Arora WIIFM recap embedded</w:t>
      </w:r>
    </w:p>
    <w:p>
      <w:pPr>
        <w:pStyle w:val="ListParagraph"/>
        <w:numPr>
          <w:ilvl w:val="0"/>
          <w:numId w:val="2"/>
        </w:numPr>
        <w:spacing w:after="60" w:before="60"/>
      </w:pPr>
      <w:r>
        <w:rPr>
          <w:rFonts w:ascii="Arial" w:cs="Arial" w:eastAsia="Arial" w:hAnsi="Arial"/>
          <w:b/>
          <w:bCs/>
          <w:color w:val="111111"/>
          <w:sz w:val="24"/>
          <w:szCs w:val="24"/>
        </w:rPr>
        <w:t xml:space="preserve">Section B —  </w:t>
      </w:r>
      <w:r>
        <w:rPr>
          <w:rFonts w:ascii="Arial" w:cs="Arial" w:eastAsia="Arial" w:hAnsi="Arial"/>
          <w:color w:val="444444"/>
          <w:sz w:val="24"/>
          <w:szCs w:val="24"/>
        </w:rPr>
        <w:t xml:space="preserve">Seth Berge — Founder Section</w:t>
      </w:r>
    </w:p>
    <w:p>
      <w:pPr>
        <w:pStyle w:val="ListParagraph"/>
        <w:numPr>
          <w:ilvl w:val="0"/>
          <w:numId w:val="3"/>
        </w:numPr>
        <w:spacing w:after="40" w:before="40"/>
      </w:pPr>
      <w:r>
        <w:rPr>
          <w:rFonts w:ascii="Arial" w:cs="Arial" w:eastAsia="Arial" w:hAnsi="Arial"/>
          <w:color w:val="777777"/>
          <w:sz w:val="22"/>
          <w:szCs w:val="22"/>
        </w:rPr>
        <w:t xml:space="preserve">Full standalone — origin story, video slot, operator proof</w:t>
      </w:r>
    </w:p>
    <w:p>
      <w:pPr>
        <w:pStyle w:val="ListParagraph"/>
        <w:numPr>
          <w:ilvl w:val="0"/>
          <w:numId w:val="2"/>
        </w:numPr>
        <w:spacing w:after="60" w:before="60"/>
      </w:pPr>
      <w:r>
        <w:rPr>
          <w:rFonts w:ascii="Arial" w:cs="Arial" w:eastAsia="Arial" w:hAnsi="Arial"/>
          <w:b/>
          <w:bCs/>
          <w:color w:val="111111"/>
          <w:sz w:val="24"/>
          <w:szCs w:val="24"/>
        </w:rPr>
        <w:t xml:space="preserve">Section C —  </w:t>
      </w:r>
      <w:r>
        <w:rPr>
          <w:rFonts w:ascii="Arial" w:cs="Arial" w:eastAsia="Arial" w:hAnsi="Arial"/>
          <w:color w:val="444444"/>
          <w:sz w:val="24"/>
          <w:szCs w:val="24"/>
        </w:rPr>
        <w:t xml:space="preserve">Dr. Sean Arora — Medical Director Section</w:t>
      </w:r>
    </w:p>
    <w:p>
      <w:pPr>
        <w:pStyle w:val="ListParagraph"/>
        <w:numPr>
          <w:ilvl w:val="0"/>
          <w:numId w:val="3"/>
        </w:numPr>
        <w:spacing w:after="40" w:before="40"/>
      </w:pPr>
      <w:r>
        <w:rPr>
          <w:rFonts w:ascii="Arial" w:cs="Arial" w:eastAsia="Arial" w:hAnsi="Arial"/>
          <w:color w:val="777777"/>
          <w:sz w:val="22"/>
          <w:szCs w:val="22"/>
        </w:rPr>
        <w:t xml:space="preserve">Full standalone — credential-forward, objection killer, financial anchor</w:t>
      </w:r>
    </w:p>
    <w:p>
      <w:pPr>
        <w:spacing w:after="140" w:before="60"/>
      </w:pPr>
      <w:r>
        <w:rPr>
          <w:rFonts w:ascii="Arial" w:cs="Arial" w:eastAsia="Arial" w:hAnsi="Arial"/>
          <w:color w:val="444444"/>
          <w:sz w:val="24"/>
          <w:szCs w:val="24"/>
        </w:rPr>
        <w:t xml:space="preserve">Rationale: The value stack comes first because it frames the price before the personalities. Once the prospect understands what $100K buys, Seth's story justifies why it works, and Dr. Arora's credentials remove the last clinical objection. The order builds conviction sequentially.</w:t>
      </w:r>
    </w:p>
    <w:p>
      <w:pPr>
        <w:pBdr>
          <w:left w:val="single" w:color="C8923A" w:sz="18" w:space="8"/>
        </w:pBdr>
        <w:shd w:fill="FFF8EE" w:val="clear"/>
        <w:spacing w:after="80" w:before="80"/>
        <w:ind w:left="360"/>
      </w:pPr>
      <w:r>
        <w:rPr>
          <w:rFonts w:ascii="Arial" w:cs="Arial" w:eastAsia="Arial" w:hAnsi="Arial"/>
          <w:i/>
          <w:iCs/>
          <w:color w:val="C8923A"/>
          <w:sz w:val="20"/>
          <w:szCs w:val="20"/>
        </w:rPr>
        <w:t xml:space="preserve">✎  COPY NOTE: If page length is a concern, Seth and Arora can be condensed into a two-column 'Leadership' section. But the recommendation is full standalone sections — this is a $100K sale and both people are major trust signals.</w:t>
      </w:r>
    </w:p>
    <w:p>
      <w:pPr>
        <w:pBdr>
          <w:bottom w:val="single" w:color="C8923A" w:sz="6" w:space="1"/>
        </w:pBdr>
        <w:spacing w:after="400" w:before="400"/>
      </w:pPr>
    </w:p>
    <w:p>
      <w:pPr>
        <w:spacing w:after="120" w:before="560"/>
      </w:pPr>
      <w:r>
        <w:rPr>
          <w:rFonts w:ascii="Arial" w:cs="Arial" w:eastAsia="Arial" w:hAnsi="Arial"/>
          <w:b/>
          <w:bCs/>
          <w:color w:val="C8923A"/>
          <w:sz w:val="18"/>
          <w:szCs w:val="18"/>
        </w:rPr>
        <w:t xml:space="preserve">SECTION A — THE REVENUE ENGINE / WHAT YOU GET</w:t>
      </w:r>
    </w:p>
    <w:p>
      <w:pPr>
        <w:pStyle w:val="Heading2"/>
        <w:spacing w:after="200" w:before="80"/>
      </w:pPr>
      <w:r>
        <w:rPr>
          <w:rFonts w:ascii="Arial" w:cs="Arial" w:eastAsia="Arial" w:hAnsi="Arial"/>
          <w:b/>
          <w:bCs/>
          <w:color w:val="111111"/>
          <w:sz w:val="40"/>
          <w:szCs w:val="40"/>
        </w:rPr>
        <w:t xml:space="preserve">SECTION HEADLINE OPTIONS</w:t>
      </w:r>
    </w:p>
    <w:p>
      <w:pPr>
        <w:pBdr>
          <w:left w:val="single" w:color="C8923A" w:sz="18" w:space="8"/>
        </w:pBdr>
        <w:shd w:fill="FFF8EE" w:val="clear"/>
        <w:spacing w:after="80" w:before="80"/>
        <w:ind w:left="360"/>
      </w:pPr>
      <w:r>
        <w:rPr>
          <w:rFonts w:ascii="Arial" w:cs="Arial" w:eastAsia="Arial" w:hAnsi="Arial"/>
          <w:i/>
          <w:iCs/>
          <w:color w:val="C8923A"/>
          <w:sz w:val="20"/>
          <w:szCs w:val="20"/>
        </w:rPr>
        <w:t xml:space="preserve">✎  COPY NOTE: Choose one. Each has a different lead emotion.</w:t>
      </w:r>
    </w:p>
    <w:p>
      <w:pPr>
        <w:spacing w:after="80" w:before="200"/>
      </w:pPr>
      <w:r>
        <w:rPr>
          <w:rFonts w:ascii="Arial" w:cs="Arial" w:eastAsia="Arial" w:hAnsi="Arial"/>
          <w:b/>
          <w:bCs/>
          <w:caps/>
          <w:color w:val="C8923A"/>
          <w:sz w:val="19"/>
          <w:szCs w:val="19"/>
        </w:rPr>
        <w:t xml:space="preserve">OPTION 1 — VALUE STACK LEAD (RECOMMENDED)</w:t>
      </w:r>
    </w:p>
    <w:p>
      <w:pPr>
        <w:pStyle w:val="Heading3"/>
        <w:spacing w:after="100" w:before="320"/>
      </w:pPr>
      <w:r>
        <w:rPr>
          <w:rFonts w:ascii="Arial" w:cs="Arial" w:eastAsia="Arial" w:hAnsi="Arial"/>
          <w:b/>
          <w:bCs/>
          <w:color w:val="111111"/>
          <w:sz w:val="30"/>
          <w:szCs w:val="30"/>
        </w:rPr>
        <w:t xml:space="preserve">Everything You Need to Launch, Fill a Room, and Close. Included on Day One.</w:t>
      </w:r>
    </w:p>
    <w:p>
      <w:pPr>
        <w:spacing w:after="140" w:before="60"/>
      </w:pPr>
      <w:r>
        <w:rPr>
          <w:rFonts w:ascii="Arial" w:cs="Arial" w:eastAsia="Arial" w:hAnsi="Arial"/>
          <w:color w:val="444444"/>
          <w:sz w:val="24"/>
          <w:szCs w:val="24"/>
        </w:rPr>
        <w:t xml:space="preserve">Why it works: Names the three revenue stages (launch, fill a room, close) upfront. The phrase 'Day One' removes the fear of a long ramp. 'Included' does the value stack work before a single line item is read.</w:t>
      </w:r>
    </w:p>
    <w:p>
      <w:pPr>
        <w:spacing w:after="80" w:before="200"/>
      </w:pPr>
      <w:r>
        <w:rPr>
          <w:rFonts w:ascii="Arial" w:cs="Arial" w:eastAsia="Arial" w:hAnsi="Arial"/>
          <w:b/>
          <w:bCs/>
          <w:caps/>
          <w:color w:val="C8923A"/>
          <w:sz w:val="19"/>
          <w:szCs w:val="19"/>
        </w:rPr>
        <w:t xml:space="preserve">OPTION 2 — SCARCITY + VALUE LEAD</w:t>
      </w:r>
    </w:p>
    <w:p>
      <w:pPr>
        <w:pStyle w:val="Heading3"/>
        <w:spacing w:after="100" w:before="320"/>
      </w:pPr>
      <w:r>
        <w:rPr>
          <w:rFonts w:ascii="Arial" w:cs="Arial" w:eastAsia="Arial" w:hAnsi="Arial"/>
          <w:b/>
          <w:bCs/>
          <w:color w:val="111111"/>
          <w:sz w:val="30"/>
          <w:szCs w:val="30"/>
        </w:rPr>
        <w:t xml:space="preserve">One $100,000 License. Ten Systems. One Protected Market. Everything Built Before You Arrive.</w:t>
      </w:r>
    </w:p>
    <w:p>
      <w:pPr>
        <w:spacing w:after="140" w:before="60"/>
      </w:pPr>
      <w:r>
        <w:rPr>
          <w:rFonts w:ascii="Arial" w:cs="Arial" w:eastAsia="Arial" w:hAnsi="Arial"/>
          <w:color w:val="444444"/>
          <w:sz w:val="24"/>
          <w:szCs w:val="24"/>
        </w:rPr>
        <w:t xml:space="preserve">Why it works: Leads with price so serious buyers self-qualify immediately. 'Built Before You Arrive' removes the fear of a complex buildout.</w:t>
      </w:r>
    </w:p>
    <w:p>
      <w:pPr>
        <w:spacing w:after="80" w:before="200"/>
      </w:pPr>
      <w:r>
        <w:rPr>
          <w:rFonts w:ascii="Arial" w:cs="Arial" w:eastAsia="Arial" w:hAnsi="Arial"/>
          <w:b/>
          <w:bCs/>
          <w:caps/>
          <w:color w:val="C8923A"/>
          <w:sz w:val="19"/>
          <w:szCs w:val="19"/>
        </w:rPr>
        <w:t xml:space="preserve">OPTION 3 — OUTCOME LEAD</w:t>
      </w:r>
    </w:p>
    <w:p>
      <w:pPr>
        <w:pStyle w:val="Heading3"/>
        <w:spacing w:after="100" w:before="320"/>
      </w:pPr>
      <w:r>
        <w:rPr>
          <w:rFonts w:ascii="Arial" w:cs="Arial" w:eastAsia="Arial" w:hAnsi="Arial"/>
          <w:b/>
          <w:bCs/>
          <w:color w:val="111111"/>
          <w:sz w:val="30"/>
          <w:szCs w:val="30"/>
        </w:rPr>
        <w:t xml:space="preserve">Your First Dinner Seminar in 60 Days. Your First $20,000–$80,000 Event Shortly After. Here's Everything That Makes It Happen.</w:t>
      </w:r>
    </w:p>
    <w:p>
      <w:pPr>
        <w:spacing w:after="140" w:before="60"/>
      </w:pPr>
      <w:r>
        <w:rPr>
          <w:rFonts w:ascii="Arial" w:cs="Arial" w:eastAsia="Arial" w:hAnsi="Arial"/>
          <w:color w:val="444444"/>
          <w:sz w:val="24"/>
          <w:szCs w:val="24"/>
        </w:rPr>
        <w:t xml:space="preserve">Why it works: Puts the revenue outcome at the top so the section reads as a path to money, not just a list of features.</w:t>
      </w:r>
    </w:p>
    <w:p>
      <w:pPr>
        <w:pStyle w:val="Heading2"/>
        <w:spacing w:after="200" w:before="80"/>
      </w:pPr>
      <w:r>
        <w:rPr>
          <w:rFonts w:ascii="Arial" w:cs="Arial" w:eastAsia="Arial" w:hAnsi="Arial"/>
          <w:b/>
          <w:bCs/>
          <w:color w:val="111111"/>
          <w:sz w:val="40"/>
          <w:szCs w:val="40"/>
        </w:rPr>
        <w:t xml:space="preserve">SECTION INTRO COPY</w:t>
      </w:r>
    </w:p>
    <w:p>
      <w:pPr>
        <w:spacing w:after="80" w:before="200"/>
      </w:pPr>
      <w:r>
        <w:rPr>
          <w:rFonts w:ascii="Arial" w:cs="Arial" w:eastAsia="Arial" w:hAnsi="Arial"/>
          <w:b/>
          <w:bCs/>
          <w:caps/>
          <w:color w:val="C8923A"/>
          <w:sz w:val="19"/>
          <w:szCs w:val="19"/>
        </w:rPr>
        <w:t xml:space="preserve">CURRENT (V2.8) — FOR REFERENCE</w:t>
      </w:r>
    </w:p>
    <w:p>
      <w:pPr>
        <w:spacing w:after="140" w:before="60"/>
      </w:pPr>
      <w:r>
        <w:rPr>
          <w:rFonts w:ascii="Arial" w:cs="Arial" w:eastAsia="Arial" w:hAnsi="Arial"/>
          <w:color w:val="444444"/>
          <w:sz w:val="24"/>
          <w:szCs w:val="24"/>
        </w:rPr>
        <w:t xml:space="preserve">"Eight integrated systems working together to create local demand, educate prospects, protect follow-up, support patient trust, and help operators run a premium regenerative medicine territory."</w:t>
      </w:r>
    </w:p>
    <w:p>
      <w:pPr>
        <w:spacing w:after="80" w:before="200"/>
      </w:pPr>
      <w:r>
        <w:rPr>
          <w:rFonts w:ascii="Arial" w:cs="Arial" w:eastAsia="Arial" w:hAnsi="Arial"/>
          <w:b/>
          <w:bCs/>
          <w:caps/>
          <w:color w:val="C8923A"/>
          <w:sz w:val="19"/>
          <w:szCs w:val="19"/>
        </w:rPr>
        <w:t xml:space="preserve">REVISED — RECOMMENDED</w:t>
      </w:r>
    </w:p>
    <w:p>
      <w:pPr>
        <w:spacing w:after="140" w:before="60"/>
      </w:pPr>
      <w:r>
        <w:rPr>
          <w:rFonts w:ascii="Arial" w:cs="Arial" w:eastAsia="Arial" w:hAnsi="Arial"/>
          <w:color w:val="444444"/>
          <w:sz w:val="24"/>
          <w:szCs w:val="24"/>
        </w:rPr>
        <w:t xml:space="preserve">"Most operators who try to enter regenerative medicine independently spend 12–18 months and $300,000–$500,000 assembling the pieces: brand identity, physician oversight, CRM, seminar system, AI follow-up, training. Some never get there at all."</w:t>
      </w:r>
    </w:p>
    <w:p>
      <w:pPr>
        <w:spacing w:after="140" w:before="60"/>
      </w:pPr>
      <w:r>
        <w:rPr>
          <w:rFonts w:ascii="Arial" w:cs="Arial" w:eastAsia="Arial" w:hAnsi="Arial"/>
          <w:color w:val="444444"/>
          <w:sz w:val="24"/>
          <w:szCs w:val="24"/>
        </w:rPr>
        <w:t xml:space="preserve">"A Got Stem Cells? territory comes with all of it — built, tested, and proven across 100+ clinics. What follows is a full inventory of what you receive on day one. Not promises. Not theory. A working system with a seven-year track record behind it."</w:t>
      </w:r>
    </w:p>
    <w:p>
      <w:pPr>
        <w:pBdr>
          <w:left w:val="single" w:color="C8923A" w:sz="18" w:space="8"/>
        </w:pBdr>
        <w:shd w:fill="FFF8EE" w:val="clear"/>
        <w:spacing w:after="80" w:before="80"/>
        <w:ind w:left="360"/>
      </w:pPr>
      <w:r>
        <w:rPr>
          <w:rFonts w:ascii="Arial" w:cs="Arial" w:eastAsia="Arial" w:hAnsi="Arial"/>
          <w:i/>
          <w:iCs/>
          <w:color w:val="C8923A"/>
          <w:sz w:val="20"/>
          <w:szCs w:val="20"/>
        </w:rPr>
        <w:t xml:space="preserve">✎  COPY NOTE: Lead with the pain of building it independently (time + cost). The comparison makes the license feel like a shortcut to something that's already been proven — not a purchase of something unproven.</w:t>
      </w:r>
    </w:p>
    <w:p>
      <w:pPr>
        <w:pStyle w:val="Heading2"/>
        <w:spacing w:after="200" w:before="80"/>
      </w:pPr>
      <w:r>
        <w:rPr>
          <w:rFonts w:ascii="Arial" w:cs="Arial" w:eastAsia="Arial" w:hAnsi="Arial"/>
          <w:b/>
          <w:bCs/>
          <w:color w:val="111111"/>
          <w:sz w:val="40"/>
          <w:szCs w:val="40"/>
        </w:rPr>
        <w:t xml:space="preserve">WIIFM ANCHOR — SETH &amp; DR. ARORA</w:t>
      </w:r>
    </w:p>
    <w:p>
      <w:pPr>
        <w:spacing w:after="80" w:before="200"/>
      </w:pPr>
      <w:r>
        <w:rPr>
          <w:rFonts w:ascii="Arial" w:cs="Arial" w:eastAsia="Arial" w:hAnsi="Arial"/>
          <w:b/>
          <w:bCs/>
          <w:caps/>
          <w:color w:val="C8923A"/>
          <w:sz w:val="19"/>
          <w:szCs w:val="19"/>
        </w:rPr>
        <w:t xml:space="preserve">EMBED THIS BLOCK AT THE TOP OF THE SECTION, BEFORE THE SYSTEM CARDS</w:t>
      </w:r>
    </w:p>
    <w:p>
      <w:pPr>
        <w:spacing w:after="140" w:before="60"/>
      </w:pPr>
      <w:r>
        <w:rPr>
          <w:rFonts w:ascii="Arial" w:cs="Arial" w:eastAsia="Arial" w:hAnsi="Arial"/>
          <w:color w:val="444444"/>
          <w:sz w:val="24"/>
          <w:szCs w:val="24"/>
        </w:rPr>
        <w:t xml:space="preserve">This is the 'Who Built This and Why It Matters To You' bridge. It's short, punchy, and directly ties the two people to the value the buyer is about to read.</w:t>
      </w:r>
    </w:p>
    <w:p>
      <w:pPr>
        <w:spacing w:after="80" w:before="200"/>
      </w:pPr>
      <w:r>
        <w:rPr>
          <w:rFonts w:ascii="Arial" w:cs="Arial" w:eastAsia="Arial" w:hAnsi="Arial"/>
          <w:b/>
          <w:bCs/>
          <w:color w:val="AAAAAA"/>
          <w:sz w:val="20"/>
          <w:szCs w:val="20"/>
        </w:rPr>
        <w:t xml:space="preserve">━━ COPY BLOCK STARTS ━━</w:t>
      </w:r>
    </w:p>
    <w:p>
      <w:pPr>
        <w:spacing w:after="80" w:before="80"/>
      </w:pPr>
      <w:r>
        <w:rPr>
          <w:rFonts w:ascii="Arial" w:cs="Arial" w:eastAsia="Arial" w:hAnsi="Arial"/>
          <w:b/>
          <w:bCs/>
          <w:color w:val="111111"/>
          <w:sz w:val="30"/>
          <w:szCs w:val="30"/>
        </w:rPr>
        <w:t xml:space="preserve">Built by Two People. Included with Every License.</w:t>
      </w:r>
    </w:p>
    <w:p>
      <w:pPr>
        <w:spacing w:after="140" w:before="60"/>
      </w:pPr>
      <w:r>
        <w:rPr>
          <w:rFonts w:ascii="Arial" w:cs="Arial" w:eastAsia="Arial" w:hAnsi="Arial"/>
          <w:color w:val="444444"/>
          <w:sz w:val="24"/>
          <w:szCs w:val="24"/>
        </w:rPr>
        <w:t xml:space="preserve">The systems below weren't designed by a licensing company. They were built by two people who have spent a combined 15+ years in the regenerative medicine industry — and both of them come with your territory.</w:t>
      </w:r>
    </w:p>
    <w:p>
      <w:pPr>
        <w:spacing w:after="60" w:before="120"/>
      </w:pPr>
      <w:r>
        <w:rPr>
          <w:rFonts w:ascii="Arial" w:cs="Arial" w:eastAsia="Arial" w:hAnsi="Arial"/>
          <w:b/>
          <w:bCs/>
          <w:color w:val="111111"/>
          <w:sz w:val="24"/>
          <w:szCs w:val="24"/>
        </w:rPr>
        <w:t xml:space="preserve">Seth Berge — </w:t>
      </w:r>
      <w:r>
        <w:rPr>
          <w:rFonts w:ascii="Arial" w:cs="Arial" w:eastAsia="Arial" w:hAnsi="Arial"/>
          <w:color w:val="444444"/>
          <w:sz w:val="24"/>
          <w:szCs w:val="24"/>
        </w:rPr>
        <w:t xml:space="preserve">Founded Precision Biologics (stem cell supply, 100+ clinics), built the dinner seminar acquisition model, and created the operator playbook you're licensing. He's the commercial engine behind the platform.</w:t>
      </w:r>
    </w:p>
    <w:p>
      <w:pPr>
        <w:spacing w:after="60" w:before="80"/>
      </w:pPr>
      <w:r>
        <w:rPr>
          <w:rFonts w:ascii="Arial" w:cs="Arial" w:eastAsia="Arial" w:hAnsi="Arial"/>
          <w:b/>
          <w:bCs/>
          <w:color w:val="111111"/>
          <w:sz w:val="24"/>
          <w:szCs w:val="24"/>
        </w:rPr>
        <w:t xml:space="preserve">Dr. Sean Arora — </w:t>
      </w:r>
      <w:r>
        <w:rPr>
          <w:rFonts w:ascii="Arial" w:cs="Arial" w:eastAsia="Arial" w:hAnsi="Arial"/>
          <w:color w:val="444444"/>
          <w:sz w:val="24"/>
          <w:szCs w:val="24"/>
        </w:rPr>
        <w:t xml:space="preserve">Board-Certified MD, licensed across all 50 states. His physician oversight, clinical protocols, and patient education structure are built into every territory. Market rate if sourced independently: $60,000–$180,000 per year.</w:t>
      </w:r>
    </w:p>
    <w:p>
      <w:pPr>
        <w:spacing w:after="80" w:before="80"/>
      </w:pPr>
      <w:r>
        <w:rPr>
          <w:rFonts w:ascii="Arial" w:cs="Arial" w:eastAsia="Arial" w:hAnsi="Arial"/>
          <w:b/>
          <w:bCs/>
          <w:color w:val="111111"/>
          <w:sz w:val="24"/>
          <w:szCs w:val="24"/>
        </w:rPr>
        <w:t xml:space="preserve">Both are included. Neither costs you extra. That alone represents more value than most licenses charge total.</w:t>
      </w:r>
    </w:p>
    <w:p>
      <w:pPr>
        <w:spacing w:after="200" w:before="80"/>
      </w:pPr>
      <w:r>
        <w:rPr>
          <w:rFonts w:ascii="Arial" w:cs="Arial" w:eastAsia="Arial" w:hAnsi="Arial"/>
          <w:b/>
          <w:bCs/>
          <w:color w:val="AAAAAA"/>
          <w:sz w:val="20"/>
          <w:szCs w:val="20"/>
        </w:rPr>
        <w:t xml:space="preserve">━━ COPY BLOCK ENDS ━━</w:t>
      </w:r>
    </w:p>
    <w:p>
      <w:pPr>
        <w:pBdr>
          <w:left w:val="single" w:color="C8923A" w:sz="18" w:space="8"/>
        </w:pBdr>
        <w:shd w:fill="FFF8EE" w:val="clear"/>
        <w:spacing w:after="80" w:before="80"/>
        <w:ind w:left="360"/>
      </w:pPr>
      <w:r>
        <w:rPr>
          <w:rFonts w:ascii="Arial" w:cs="Arial" w:eastAsia="Arial" w:hAnsi="Arial"/>
          <w:i/>
          <w:iCs/>
          <w:color w:val="C8923A"/>
          <w:sz w:val="20"/>
          <w:szCs w:val="20"/>
        </w:rPr>
        <w:t xml:space="preserve">✎  COPY NOTE: This block replaces the need to repeat full bios inside the engine section. It's a handshake — 'you'll meet them properly in the next two sections, but here's why they matter to your ROI.' Keep it tight. No more than 5–6 lines.</w:t>
      </w:r>
    </w:p>
    <w:p>
      <w:pPr>
        <w:pStyle w:val="Heading2"/>
        <w:spacing w:after="200" w:before="80"/>
      </w:pPr>
      <w:r>
        <w:rPr>
          <w:rFonts w:ascii="Arial" w:cs="Arial" w:eastAsia="Arial" w:hAnsi="Arial"/>
          <w:b/>
          <w:bCs/>
          <w:color w:val="111111"/>
          <w:sz w:val="40"/>
          <w:szCs w:val="40"/>
        </w:rPr>
        <w:t xml:space="preserve">THE SYSTEM CARDS — FULL COPY</w:t>
      </w:r>
    </w:p>
    <w:p>
      <w:pPr>
        <w:pBdr>
          <w:left w:val="single" w:color="C8923A" w:sz="18" w:space="8"/>
        </w:pBdr>
        <w:shd w:fill="FFF8EE" w:val="clear"/>
        <w:spacing w:after="80" w:before="80"/>
        <w:ind w:left="360"/>
      </w:pPr>
      <w:r>
        <w:rPr>
          <w:rFonts w:ascii="Arial" w:cs="Arial" w:eastAsia="Arial" w:hAnsi="Arial"/>
          <w:i/>
          <w:iCs/>
          <w:color w:val="C8923A"/>
          <w:sz w:val="20"/>
          <w:szCs w:val="20"/>
        </w:rPr>
        <w:t xml:space="preserve">✎  COPY NOTE: Cards are ordered by revenue impact, not category. The most direct path to the first dollar comes first. Dr. Arora is anchored to Card 3 (the objection that kills deals). Seth's quote anchors Card 1 (the primary revenue driver). Suggested total: 10 cards — the original 8 expanded with two that were previously buried inside others.</w:t>
      </w:r>
    </w:p>
    <w:p>
      <w:pPr>
        <w:pBdr>
          <w:bottom w:val="single" w:color="DDDDDD" w:sz="2" w:space="1"/>
        </w:pBdr>
        <w:spacing w:after="200" w:before="200"/>
      </w:pPr>
    </w:p>
    <w:p>
      <w:pPr>
        <w:spacing w:after="60" w:before="240"/>
      </w:pPr>
      <w:r>
        <w:rPr>
          <w:rFonts w:ascii="Arial" w:cs="Arial" w:eastAsia="Arial" w:hAnsi="Arial"/>
          <w:b/>
          <w:bCs/>
          <w:color w:val="C8923A"/>
          <w:sz w:val="22"/>
          <w:szCs w:val="22"/>
        </w:rPr>
        <w:t xml:space="preserve">01  </w:t>
      </w:r>
      <w:r>
        <w:rPr>
          <w:rFonts w:ascii="Arial" w:cs="Arial" w:eastAsia="Arial" w:hAnsi="Arial"/>
          <w:b/>
          <w:bCs/>
          <w:caps/>
          <w:color w:val="C8923A"/>
          <w:sz w:val="22"/>
          <w:szCs w:val="22"/>
        </w:rPr>
        <w:t xml:space="preserve">THE DINNER SEMINAR ENGINE</w:t>
      </w:r>
    </w:p>
    <w:p>
      <w:pPr>
        <w:spacing w:after="120" w:before="0"/>
      </w:pPr>
      <w:r>
        <w:rPr>
          <w:rFonts w:ascii="Arial" w:cs="Arial" w:eastAsia="Arial" w:hAnsi="Arial"/>
          <w:b/>
          <w:bCs/>
          <w:color w:val="111111"/>
          <w:sz w:val="32"/>
          <w:szCs w:val="32"/>
        </w:rPr>
        <w:t xml:space="preserve">Your Primary Revenue Driver. The Model That Generated $100M+.</w:t>
      </w:r>
    </w:p>
    <w:p>
      <w:pPr>
        <w:spacing w:after="120" w:before="0"/>
      </w:pPr>
      <w:r>
        <w:rPr>
          <w:rFonts w:ascii="Arial" w:cs="Arial" w:eastAsia="Arial" w:hAnsi="Arial"/>
          <w:color w:val="444444"/>
          <w:sz w:val="24"/>
          <w:szCs w:val="24"/>
        </w:rPr>
        <w:t xml:space="preserve">The live patient education event is the single highest-converting patient acquisition tool in regenerative medicine. One well-run dinner seminar — 40–80 attendees, the right room, the right script — generates $20,000 to $80,000 in consultation commitments in a single week. You receive the complete system: scripted presentation, slide deck, venue selection playbook, event flow guide, appointment sheet, and full consult conversion path. This is not a template. It's the exact format used to build 100+ clinic relationships and $100M+ in combined annual revenue.</w:t>
      </w:r>
    </w:p>
    <w:p>
      <w:pPr>
        <w:pStyle w:val="ListParagraph"/>
        <w:numPr>
          <w:ilvl w:val="0"/>
          <w:numId w:val="2"/>
        </w:numPr>
        <w:spacing w:after="50" w:before="50"/>
      </w:pPr>
      <w:r>
        <w:rPr>
          <w:rFonts w:ascii="Arial" w:cs="Arial" w:eastAsia="Arial" w:hAnsi="Arial"/>
          <w:b/>
          <w:bCs/>
          <w:color w:val="111111"/>
          <w:sz w:val="23"/>
          <w:szCs w:val="23"/>
        </w:rPr>
        <w:t xml:space="preserve">Scripted seminar presentation: </w:t>
      </w:r>
      <w:r>
        <w:rPr>
          <w:rFonts w:ascii="Arial" w:cs="Arial" w:eastAsia="Arial" w:hAnsi="Arial"/>
          <w:color w:val="444444"/>
          <w:sz w:val="23"/>
          <w:szCs w:val="23"/>
        </w:rPr>
        <w:t xml:space="preserve">Physician-credible, education-first format proven to build room trust fast.</w:t>
      </w:r>
    </w:p>
    <w:p>
      <w:pPr>
        <w:pStyle w:val="ListParagraph"/>
        <w:numPr>
          <w:ilvl w:val="0"/>
          <w:numId w:val="2"/>
        </w:numPr>
        <w:spacing w:after="50" w:before="50"/>
      </w:pPr>
      <w:r>
        <w:rPr>
          <w:rFonts w:ascii="Arial" w:cs="Arial" w:eastAsia="Arial" w:hAnsi="Arial"/>
          <w:b/>
          <w:bCs/>
          <w:color w:val="111111"/>
          <w:sz w:val="23"/>
          <w:szCs w:val="23"/>
        </w:rPr>
        <w:t xml:space="preserve">Slide deck + visual assets: </w:t>
      </w:r>
      <w:r>
        <w:rPr>
          <w:rFonts w:ascii="Arial" w:cs="Arial" w:eastAsia="Arial" w:hAnsi="Arial"/>
          <w:color w:val="444444"/>
          <w:sz w:val="23"/>
          <w:szCs w:val="23"/>
        </w:rPr>
        <w:t xml:space="preserve">Fully designed, branded, and ready to present.</w:t>
      </w:r>
    </w:p>
    <w:p>
      <w:pPr>
        <w:pStyle w:val="ListParagraph"/>
        <w:numPr>
          <w:ilvl w:val="0"/>
          <w:numId w:val="2"/>
        </w:numPr>
        <w:spacing w:after="50" w:before="50"/>
      </w:pPr>
      <w:r>
        <w:rPr>
          <w:rFonts w:ascii="Arial" w:cs="Arial" w:eastAsia="Arial" w:hAnsi="Arial"/>
          <w:b/>
          <w:bCs/>
          <w:color w:val="111111"/>
          <w:sz w:val="23"/>
          <w:szCs w:val="23"/>
        </w:rPr>
        <w:t xml:space="preserve">Venue selection playbook: </w:t>
      </w:r>
      <w:r>
        <w:rPr>
          <w:rFonts w:ascii="Arial" w:cs="Arial" w:eastAsia="Arial" w:hAnsi="Arial"/>
          <w:color w:val="444444"/>
          <w:sz w:val="23"/>
          <w:szCs w:val="23"/>
        </w:rPr>
        <w:t xml:space="preserve">How to choose the right restaurant or private dining room for maximum show rate.</w:t>
      </w:r>
    </w:p>
    <w:p>
      <w:pPr>
        <w:pStyle w:val="ListParagraph"/>
        <w:numPr>
          <w:ilvl w:val="0"/>
          <w:numId w:val="2"/>
        </w:numPr>
        <w:spacing w:after="50" w:before="50"/>
      </w:pPr>
      <w:r>
        <w:rPr>
          <w:rFonts w:ascii="Arial" w:cs="Arial" w:eastAsia="Arial" w:hAnsi="Arial"/>
          <w:b/>
          <w:bCs/>
          <w:color w:val="111111"/>
          <w:sz w:val="23"/>
          <w:szCs w:val="23"/>
        </w:rPr>
        <w:t xml:space="preserve">Event flow guide: </w:t>
      </w:r>
      <w:r>
        <w:rPr>
          <w:rFonts w:ascii="Arial" w:cs="Arial" w:eastAsia="Arial" w:hAnsi="Arial"/>
          <w:color w:val="444444"/>
          <w:sz w:val="23"/>
          <w:szCs w:val="23"/>
        </w:rPr>
        <w:t xml:space="preserve">From door open to close — every stage timed and scripted.</w:t>
      </w:r>
    </w:p>
    <w:p>
      <w:pPr>
        <w:pStyle w:val="ListParagraph"/>
        <w:numPr>
          <w:ilvl w:val="0"/>
          <w:numId w:val="2"/>
        </w:numPr>
        <w:spacing w:after="50" w:before="50"/>
      </w:pPr>
      <w:r>
        <w:rPr>
          <w:rFonts w:ascii="Arial" w:cs="Arial" w:eastAsia="Arial" w:hAnsi="Arial"/>
          <w:b/>
          <w:bCs/>
          <w:color w:val="111111"/>
          <w:sz w:val="23"/>
          <w:szCs w:val="23"/>
        </w:rPr>
        <w:t xml:space="preserve">Appointment sheet system: </w:t>
      </w:r>
      <w:r>
        <w:rPr>
          <w:rFonts w:ascii="Arial" w:cs="Arial" w:eastAsia="Arial" w:hAnsi="Arial"/>
          <w:color w:val="444444"/>
          <w:sz w:val="23"/>
          <w:szCs w:val="23"/>
        </w:rPr>
        <w:t xml:space="preserve">The booking tool that captures consultation intent before attendees leave the room.</w:t>
      </w:r>
    </w:p>
    <w:p>
      <w:pPr>
        <w:pStyle w:val="ListParagraph"/>
        <w:numPr>
          <w:ilvl w:val="0"/>
          <w:numId w:val="2"/>
        </w:numPr>
        <w:spacing w:after="50" w:before="50"/>
      </w:pPr>
      <w:r>
        <w:rPr>
          <w:rFonts w:ascii="Arial" w:cs="Arial" w:eastAsia="Arial" w:hAnsi="Arial"/>
          <w:b/>
          <w:bCs/>
          <w:color w:val="111111"/>
          <w:sz w:val="23"/>
          <w:szCs w:val="23"/>
        </w:rPr>
        <w:t xml:space="preserve">Local event promotion framework: </w:t>
      </w:r>
      <w:r>
        <w:rPr>
          <w:rFonts w:ascii="Arial" w:cs="Arial" w:eastAsia="Arial" w:hAnsi="Arial"/>
          <w:color w:val="444444"/>
          <w:sz w:val="23"/>
          <w:szCs w:val="23"/>
        </w:rPr>
        <w:t xml:space="preserve">Direct mail, digital, and database activation to fill the room.</w:t>
      </w:r>
    </w:p>
    <w:p>
      <w:pPr>
        <w:pStyle w:val="ListParagraph"/>
        <w:numPr>
          <w:ilvl w:val="0"/>
          <w:numId w:val="2"/>
        </w:numPr>
        <w:spacing w:after="50" w:before="50"/>
      </w:pPr>
      <w:r>
        <w:rPr>
          <w:rFonts w:ascii="Arial" w:cs="Arial" w:eastAsia="Arial" w:hAnsi="Arial"/>
          <w:b/>
          <w:bCs/>
          <w:color w:val="111111"/>
          <w:sz w:val="23"/>
          <w:szCs w:val="23"/>
        </w:rPr>
        <w:t xml:space="preserve">Consult conversion path: </w:t>
      </w:r>
      <w:r>
        <w:rPr>
          <w:rFonts w:ascii="Arial" w:cs="Arial" w:eastAsia="Arial" w:hAnsi="Arial"/>
          <w:color w:val="444444"/>
          <w:sz w:val="23"/>
          <w:szCs w:val="23"/>
        </w:rPr>
        <w:t xml:space="preserve">What happens after the event — follow-up, qualification, and close sequence.</w:t>
      </w:r>
    </w:p>
    <w:p>
      <w:pPr>
        <w:spacing w:after="40" w:before="160"/>
      </w:pPr>
      <w:r>
        <w:rPr>
          <w:rFonts w:ascii="Arial" w:cs="Arial" w:eastAsia="Arial" w:hAnsi="Arial"/>
          <w:b/>
          <w:bCs/>
          <w:color w:val="C8923A"/>
          <w:sz w:val="36"/>
          <w:szCs w:val="36"/>
        </w:rPr>
        <w:t xml:space="preserve">$20K–$80K </w:t>
      </w:r>
    </w:p>
    <w:p>
      <w:pPr>
        <w:spacing w:after="160" w:before="0"/>
      </w:pPr>
      <w:r>
        <w:rPr>
          <w:rFonts w:ascii="Arial" w:cs="Arial" w:eastAsia="Arial" w:hAnsi="Arial"/>
          <w:color w:val="777777"/>
          <w:sz w:val="20"/>
          <w:szCs w:val="20"/>
        </w:rPr>
        <w:t xml:space="preserve">Revenue potential per live event. Run one per month: investment recovered within 12 months.</w:t>
      </w:r>
    </w:p>
    <w:p>
      <w:pPr>
        <w:pBdr>
          <w:left w:val="single" w:color="C8923A" w:sz="18" w:space="8"/>
        </w:pBdr>
        <w:spacing w:after="60" w:before="160"/>
        <w:ind w:left="480"/>
      </w:pPr>
      <w:r>
        <w:rPr>
          <w:rFonts w:ascii="Arial" w:cs="Arial" w:eastAsia="Arial" w:hAnsi="Arial"/>
          <w:i/>
          <w:iCs/>
          <w:color w:val="444444"/>
          <w:sz w:val="24"/>
          <w:szCs w:val="24"/>
        </w:rPr>
        <w:t xml:space="preserve">"We ran our first dinner seminar within 60 days and closed over $40,000 that first week alone."</w:t>
      </w:r>
    </w:p>
    <w:p>
      <w:pPr>
        <w:spacing w:after="160" w:before="0"/>
        <w:ind w:left="480"/>
      </w:pPr>
      <w:r>
        <w:rPr>
          <w:rFonts w:ascii="Arial" w:cs="Arial" w:eastAsia="Arial" w:hAnsi="Arial"/>
          <w:b/>
          <w:bCs/>
          <w:color w:val="777777"/>
          <w:sz w:val="20"/>
          <w:szCs w:val="20"/>
        </w:rPr>
        <w:t xml:space="preserve">— Dr. David K., Chiropractor — Licensed Territory Operator</w:t>
      </w:r>
    </w:p>
    <w:p>
      <w:pPr>
        <w:pBdr>
          <w:bottom w:val="single" w:color="DDDDDD" w:sz="2" w:space="1"/>
        </w:pBdr>
        <w:spacing w:after="200" w:before="200"/>
      </w:pPr>
    </w:p>
    <w:p>
      <w:pPr>
        <w:spacing w:after="60" w:before="240"/>
      </w:pPr>
      <w:r>
        <w:rPr>
          <w:rFonts w:ascii="Arial" w:cs="Arial" w:eastAsia="Arial" w:hAnsi="Arial"/>
          <w:b/>
          <w:bCs/>
          <w:color w:val="C8923A"/>
          <w:sz w:val="22"/>
          <w:szCs w:val="22"/>
        </w:rPr>
        <w:t xml:space="preserve">02  </w:t>
      </w:r>
      <w:r>
        <w:rPr>
          <w:rFonts w:ascii="Arial" w:cs="Arial" w:eastAsia="Arial" w:hAnsi="Arial"/>
          <w:b/>
          <w:bCs/>
          <w:caps/>
          <w:color w:val="C8923A"/>
          <w:sz w:val="22"/>
          <w:szCs w:val="22"/>
        </w:rPr>
        <w:t xml:space="preserve">AVA — 24/7 AI PRACTICE AGENT</w:t>
      </w:r>
    </w:p>
    <w:p>
      <w:pPr>
        <w:spacing w:after="120" w:before="0"/>
      </w:pPr>
      <w:r>
        <w:rPr>
          <w:rFonts w:ascii="Arial" w:cs="Arial" w:eastAsia="Arial" w:hAnsi="Arial"/>
          <w:b/>
          <w:bCs/>
          <w:color w:val="111111"/>
          <w:sz w:val="32"/>
          <w:szCs w:val="32"/>
        </w:rPr>
        <w:t xml:space="preserve">The First Team Member Who Never Misses a Lead. Ever.</w:t>
      </w:r>
    </w:p>
    <w:p>
      <w:pPr>
        <w:spacing w:after="120" w:before="0"/>
      </w:pPr>
      <w:r>
        <w:rPr>
          <w:rFonts w:ascii="Arial" w:cs="Arial" w:eastAsia="Arial" w:hAnsi="Arial"/>
          <w:color w:val="444444"/>
          <w:sz w:val="24"/>
          <w:szCs w:val="24"/>
        </w:rPr>
        <w:t xml:space="preserve">The average practice loses 60–70% of inbound leads because no one responds fast enough. By the time a front desk follows up, the prospect has moved on. Ava responds in under 60 seconds — across SMS, voice, video, and web chat — qualifies intent, answers clinical questions, and books consultations directly into your calendar. Around the clock. Without staff. Ava is not a chatbot. It is a purpose-built AI practice agent fluent in regenerative medicine, designed for HIPAA-conscious workflows, and powered by 16 specialized sub-agents handling everything from database reactivation to objection handling.</w:t>
      </w:r>
    </w:p>
    <w:p>
      <w:pPr>
        <w:pStyle w:val="ListParagraph"/>
        <w:numPr>
          <w:ilvl w:val="0"/>
          <w:numId w:val="2"/>
        </w:numPr>
        <w:spacing w:after="50" w:before="50"/>
      </w:pPr>
      <w:r>
        <w:rPr>
          <w:rFonts w:ascii="Arial" w:cs="Arial" w:eastAsia="Arial" w:hAnsi="Arial"/>
          <w:b/>
          <w:bCs/>
          <w:color w:val="111111"/>
          <w:sz w:val="23"/>
          <w:szCs w:val="23"/>
        </w:rPr>
        <w:t xml:space="preserve">Inbound response: </w:t>
      </w:r>
      <w:r>
        <w:rPr>
          <w:rFonts w:ascii="Arial" w:cs="Arial" w:eastAsia="Arial" w:hAnsi="Arial"/>
          <w:color w:val="444444"/>
          <w:sz w:val="23"/>
          <w:szCs w:val="23"/>
        </w:rPr>
        <w:t xml:space="preserve">Under 60 seconds on every channel — SMS, voice, video, web chat.</w:t>
      </w:r>
    </w:p>
    <w:p>
      <w:pPr>
        <w:pStyle w:val="ListParagraph"/>
        <w:numPr>
          <w:ilvl w:val="0"/>
          <w:numId w:val="2"/>
        </w:numPr>
        <w:spacing w:after="50" w:before="50"/>
      </w:pPr>
      <w:r>
        <w:rPr>
          <w:rFonts w:ascii="Arial" w:cs="Arial" w:eastAsia="Arial" w:hAnsi="Arial"/>
          <w:b/>
          <w:bCs/>
          <w:color w:val="111111"/>
          <w:sz w:val="23"/>
          <w:szCs w:val="23"/>
        </w:rPr>
        <w:t xml:space="preserve">Lead qualification: </w:t>
      </w:r>
      <w:r>
        <w:rPr>
          <w:rFonts w:ascii="Arial" w:cs="Arial" w:eastAsia="Arial" w:hAnsi="Arial"/>
          <w:color w:val="444444"/>
          <w:sz w:val="23"/>
          <w:szCs w:val="23"/>
        </w:rPr>
        <w:t xml:space="preserve">Separates serious buyers from tire-kickers before they reach your calendar.</w:t>
      </w:r>
    </w:p>
    <w:p>
      <w:pPr>
        <w:pStyle w:val="ListParagraph"/>
        <w:numPr>
          <w:ilvl w:val="0"/>
          <w:numId w:val="2"/>
        </w:numPr>
        <w:spacing w:after="50" w:before="50"/>
      </w:pPr>
      <w:r>
        <w:rPr>
          <w:rFonts w:ascii="Arial" w:cs="Arial" w:eastAsia="Arial" w:hAnsi="Arial"/>
          <w:b/>
          <w:bCs/>
          <w:color w:val="111111"/>
          <w:sz w:val="23"/>
          <w:szCs w:val="23"/>
        </w:rPr>
        <w:t xml:space="preserve">Consultation booking: </w:t>
      </w:r>
      <w:r>
        <w:rPr>
          <w:rFonts w:ascii="Arial" w:cs="Arial" w:eastAsia="Arial" w:hAnsi="Arial"/>
          <w:color w:val="444444"/>
          <w:sz w:val="23"/>
          <w:szCs w:val="23"/>
        </w:rPr>
        <w:t xml:space="preserve">Books directly into your calendar in real time. No staff required.</w:t>
      </w:r>
    </w:p>
    <w:p>
      <w:pPr>
        <w:pStyle w:val="ListParagraph"/>
        <w:numPr>
          <w:ilvl w:val="0"/>
          <w:numId w:val="2"/>
        </w:numPr>
        <w:spacing w:after="50" w:before="50"/>
      </w:pPr>
      <w:r>
        <w:rPr>
          <w:rFonts w:ascii="Arial" w:cs="Arial" w:eastAsia="Arial" w:hAnsi="Arial"/>
          <w:b/>
          <w:bCs/>
          <w:color w:val="111111"/>
          <w:sz w:val="23"/>
          <w:szCs w:val="23"/>
        </w:rPr>
        <w:t xml:space="preserve">Database reactivation: </w:t>
      </w:r>
      <w:r>
        <w:rPr>
          <w:rFonts w:ascii="Arial" w:cs="Arial" w:eastAsia="Arial" w:hAnsi="Arial"/>
          <w:color w:val="444444"/>
          <w:sz w:val="23"/>
          <w:szCs w:val="23"/>
        </w:rPr>
        <w:t xml:space="preserve">Re-engages cold leads and missed opportunities automatically.</w:t>
      </w:r>
    </w:p>
    <w:p>
      <w:pPr>
        <w:pStyle w:val="ListParagraph"/>
        <w:numPr>
          <w:ilvl w:val="0"/>
          <w:numId w:val="2"/>
        </w:numPr>
        <w:spacing w:after="50" w:before="50"/>
      </w:pPr>
      <w:r>
        <w:rPr>
          <w:rFonts w:ascii="Arial" w:cs="Arial" w:eastAsia="Arial" w:hAnsi="Arial"/>
          <w:b/>
          <w:bCs/>
          <w:color w:val="111111"/>
          <w:sz w:val="23"/>
          <w:szCs w:val="23"/>
        </w:rPr>
        <w:t xml:space="preserve">Objection handling: </w:t>
      </w:r>
      <w:r>
        <w:rPr>
          <w:rFonts w:ascii="Arial" w:cs="Arial" w:eastAsia="Arial" w:hAnsi="Arial"/>
          <w:color w:val="444444"/>
          <w:sz w:val="23"/>
          <w:szCs w:val="23"/>
        </w:rPr>
        <w:t xml:space="preserve">Answers the most common regenerative medicine questions before the provider steps in.</w:t>
      </w:r>
    </w:p>
    <w:p>
      <w:pPr>
        <w:pStyle w:val="ListParagraph"/>
        <w:numPr>
          <w:ilvl w:val="0"/>
          <w:numId w:val="2"/>
        </w:numPr>
        <w:spacing w:after="50" w:before="50"/>
      </w:pPr>
      <w:r>
        <w:rPr>
          <w:rFonts w:ascii="Arial" w:cs="Arial" w:eastAsia="Arial" w:hAnsi="Arial"/>
          <w:b/>
          <w:bCs/>
          <w:color w:val="111111"/>
          <w:sz w:val="23"/>
          <w:szCs w:val="23"/>
        </w:rPr>
        <w:t xml:space="preserve">No-show recovery: </w:t>
      </w:r>
      <w:r>
        <w:rPr>
          <w:rFonts w:ascii="Arial" w:cs="Arial" w:eastAsia="Arial" w:hAnsi="Arial"/>
          <w:color w:val="444444"/>
          <w:sz w:val="23"/>
          <w:szCs w:val="23"/>
        </w:rPr>
        <w:t xml:space="preserve">Automated follow-up sequence for missed appointments.</w:t>
      </w:r>
    </w:p>
    <w:p>
      <w:pPr>
        <w:pStyle w:val="ListParagraph"/>
        <w:numPr>
          <w:ilvl w:val="0"/>
          <w:numId w:val="2"/>
        </w:numPr>
        <w:spacing w:after="50" w:before="50"/>
      </w:pPr>
      <w:r>
        <w:rPr>
          <w:rFonts w:ascii="Arial" w:cs="Arial" w:eastAsia="Arial" w:hAnsi="Arial"/>
          <w:b/>
          <w:bCs/>
          <w:color w:val="111111"/>
          <w:sz w:val="23"/>
          <w:szCs w:val="23"/>
        </w:rPr>
        <w:t xml:space="preserve">16 specialized agents: </w:t>
      </w:r>
      <w:r>
        <w:rPr>
          <w:rFonts w:ascii="Arial" w:cs="Arial" w:eastAsia="Arial" w:hAnsi="Arial"/>
          <w:color w:val="444444"/>
          <w:sz w:val="23"/>
          <w:szCs w:val="23"/>
        </w:rPr>
        <w:t xml:space="preserve">Each handles a specific part of the patient journey from inquiry to booked consult.</w:t>
      </w:r>
    </w:p>
    <w:p>
      <w:pPr>
        <w:spacing w:after="40" w:before="160"/>
      </w:pPr>
      <w:r>
        <w:rPr>
          <w:rFonts w:ascii="Arial" w:cs="Arial" w:eastAsia="Arial" w:hAnsi="Arial"/>
          <w:b/>
          <w:bCs/>
          <w:color w:val="C8923A"/>
          <w:sz w:val="36"/>
          <w:szCs w:val="36"/>
        </w:rPr>
        <w:t xml:space="preserve">$70K–$250K </w:t>
      </w:r>
    </w:p>
    <w:p>
      <w:pPr>
        <w:spacing w:after="160" w:before="0"/>
      </w:pPr>
      <w:r>
        <w:rPr>
          <w:rFonts w:ascii="Arial" w:cs="Arial" w:eastAsia="Arial" w:hAnsi="Arial"/>
          <w:color w:val="777777"/>
          <w:sz w:val="20"/>
          <w:szCs w:val="20"/>
        </w:rPr>
        <w:t xml:space="preserve">Cost to build a comparable HIPAA-aware AI stack independently. Included with every territory.</w:t>
      </w:r>
    </w:p>
    <w:p>
      <w:pPr>
        <w:pBdr>
          <w:bottom w:val="single" w:color="DDDDDD" w:sz="2" w:space="1"/>
        </w:pBdr>
        <w:spacing w:after="200" w:before="200"/>
      </w:pPr>
    </w:p>
    <w:p>
      <w:pPr>
        <w:spacing w:after="60" w:before="240"/>
      </w:pPr>
      <w:r>
        <w:rPr>
          <w:rFonts w:ascii="Arial" w:cs="Arial" w:eastAsia="Arial" w:hAnsi="Arial"/>
          <w:b/>
          <w:bCs/>
          <w:color w:val="C8923A"/>
          <w:sz w:val="22"/>
          <w:szCs w:val="22"/>
        </w:rPr>
        <w:t xml:space="preserve">03  </w:t>
      </w:r>
      <w:r>
        <w:rPr>
          <w:rFonts w:ascii="Arial" w:cs="Arial" w:eastAsia="Arial" w:hAnsi="Arial"/>
          <w:b/>
          <w:bCs/>
          <w:caps/>
          <w:color w:val="C8923A"/>
          <w:sz w:val="22"/>
          <w:szCs w:val="22"/>
        </w:rPr>
        <w:t xml:space="preserve">DR. SEAN ARORA — MD OVERSIGHT &amp; CLINICAL FRAMEWORK</w:t>
      </w:r>
    </w:p>
    <w:p>
      <w:pPr>
        <w:spacing w:after="120" w:before="0"/>
      </w:pPr>
      <w:r>
        <w:rPr>
          <w:rFonts w:ascii="Arial" w:cs="Arial" w:eastAsia="Arial" w:hAnsi="Arial"/>
          <w:b/>
          <w:bCs/>
          <w:color w:val="111111"/>
          <w:sz w:val="32"/>
          <w:szCs w:val="32"/>
        </w:rPr>
        <w:t xml:space="preserve">The Objection That Kills Most Deals. Answered on Day One.</w:t>
      </w:r>
    </w:p>
    <w:p>
      <w:pPr>
        <w:spacing w:after="120" w:before="0"/>
      </w:pPr>
      <w:r>
        <w:rPr>
          <w:rFonts w:ascii="Arial" w:cs="Arial" w:eastAsia="Arial" w:hAnsi="Arial"/>
          <w:color w:val="444444"/>
          <w:sz w:val="24"/>
          <w:szCs w:val="24"/>
        </w:rPr>
        <w:t xml:space="preserve">Every serious operator asks the same question before they move forward: 'Do I need a medical license to run this?' The answer is no — and not because of a workaround or gray area. Because Dr. Sean Arora is a Board-Certified MD, licensed across all 50 states, and his physician oversight is built into every territory license at zero additional cost. Dr. Arora provides the clinical framework, treatment protocols, patient education standards, and physician-guided care-flow structure that turns a business operation into a credible medical practice patients trust. Most operators sourcing this layer independently pay $5,000–$15,000 per month.</w:t>
      </w:r>
    </w:p>
    <w:p>
      <w:pPr>
        <w:pStyle w:val="ListParagraph"/>
        <w:numPr>
          <w:ilvl w:val="0"/>
          <w:numId w:val="2"/>
        </w:numPr>
        <w:spacing w:after="50" w:before="50"/>
      </w:pPr>
      <w:r>
        <w:rPr>
          <w:rFonts w:ascii="Arial" w:cs="Arial" w:eastAsia="Arial" w:hAnsi="Arial"/>
          <w:b/>
          <w:bCs/>
          <w:color w:val="111111"/>
          <w:sz w:val="23"/>
          <w:szCs w:val="23"/>
        </w:rPr>
        <w:t xml:space="preserve">Board-Certified MD: </w:t>
      </w:r>
      <w:r>
        <w:rPr>
          <w:rFonts w:ascii="Arial" w:cs="Arial" w:eastAsia="Arial" w:hAnsi="Arial"/>
          <w:color w:val="444444"/>
          <w:sz w:val="23"/>
          <w:szCs w:val="23"/>
        </w:rPr>
        <w:t xml:space="preserve">Full clinical credentials and medical authority behind every territory.</w:t>
      </w:r>
    </w:p>
    <w:p>
      <w:pPr>
        <w:pStyle w:val="ListParagraph"/>
        <w:numPr>
          <w:ilvl w:val="0"/>
          <w:numId w:val="2"/>
        </w:numPr>
        <w:spacing w:after="50" w:before="50"/>
      </w:pPr>
      <w:r>
        <w:rPr>
          <w:rFonts w:ascii="Arial" w:cs="Arial" w:eastAsia="Arial" w:hAnsi="Arial"/>
          <w:b/>
          <w:bCs/>
          <w:color w:val="111111"/>
          <w:sz w:val="23"/>
          <w:szCs w:val="23"/>
        </w:rPr>
        <w:t xml:space="preserve">All 50 states: </w:t>
      </w:r>
      <w:r>
        <w:rPr>
          <w:rFonts w:ascii="Arial" w:cs="Arial" w:eastAsia="Arial" w:hAnsi="Arial"/>
          <w:color w:val="444444"/>
          <w:sz w:val="23"/>
          <w:szCs w:val="23"/>
        </w:rPr>
        <w:t xml:space="preserve">Active licensure across every U.S. market. No geographic restrictions.</w:t>
      </w:r>
    </w:p>
    <w:p>
      <w:pPr>
        <w:pStyle w:val="ListParagraph"/>
        <w:numPr>
          <w:ilvl w:val="0"/>
          <w:numId w:val="2"/>
        </w:numPr>
        <w:spacing w:after="50" w:before="50"/>
      </w:pPr>
      <w:r>
        <w:rPr>
          <w:rFonts w:ascii="Arial" w:cs="Arial" w:eastAsia="Arial" w:hAnsi="Arial"/>
          <w:b/>
          <w:bCs/>
          <w:color w:val="111111"/>
          <w:sz w:val="23"/>
          <w:szCs w:val="23"/>
        </w:rPr>
        <w:t xml:space="preserve">Treatment protocols: </w:t>
      </w:r>
      <w:r>
        <w:rPr>
          <w:rFonts w:ascii="Arial" w:cs="Arial" w:eastAsia="Arial" w:hAnsi="Arial"/>
          <w:color w:val="444444"/>
          <w:sz w:val="23"/>
          <w:szCs w:val="23"/>
        </w:rPr>
        <w:t xml:space="preserve">Physician-developed clinical guidelines for all regenerative therapies offered.</w:t>
      </w:r>
    </w:p>
    <w:p>
      <w:pPr>
        <w:pStyle w:val="ListParagraph"/>
        <w:numPr>
          <w:ilvl w:val="0"/>
          <w:numId w:val="2"/>
        </w:numPr>
        <w:spacing w:after="50" w:before="50"/>
      </w:pPr>
      <w:r>
        <w:rPr>
          <w:rFonts w:ascii="Arial" w:cs="Arial" w:eastAsia="Arial" w:hAnsi="Arial"/>
          <w:b/>
          <w:bCs/>
          <w:color w:val="111111"/>
          <w:sz w:val="23"/>
          <w:szCs w:val="23"/>
        </w:rPr>
        <w:t xml:space="preserve">Patient education standards: </w:t>
      </w:r>
      <w:r>
        <w:rPr>
          <w:rFonts w:ascii="Arial" w:cs="Arial" w:eastAsia="Arial" w:hAnsi="Arial"/>
          <w:color w:val="444444"/>
          <w:sz w:val="23"/>
          <w:szCs w:val="23"/>
        </w:rPr>
        <w:t xml:space="preserve">The credibility framework that makes prospects trust the territory before they book.</w:t>
      </w:r>
    </w:p>
    <w:p>
      <w:pPr>
        <w:pStyle w:val="ListParagraph"/>
        <w:numPr>
          <w:ilvl w:val="0"/>
          <w:numId w:val="2"/>
        </w:numPr>
        <w:spacing w:after="50" w:before="50"/>
      </w:pPr>
      <w:r>
        <w:rPr>
          <w:rFonts w:ascii="Arial" w:cs="Arial" w:eastAsia="Arial" w:hAnsi="Arial"/>
          <w:b/>
          <w:bCs/>
          <w:color w:val="111111"/>
          <w:sz w:val="23"/>
          <w:szCs w:val="23"/>
        </w:rPr>
        <w:t xml:space="preserve">Care-flow structure: </w:t>
      </w:r>
      <w:r>
        <w:rPr>
          <w:rFonts w:ascii="Arial" w:cs="Arial" w:eastAsia="Arial" w:hAnsi="Arial"/>
          <w:color w:val="444444"/>
          <w:sz w:val="23"/>
          <w:szCs w:val="23"/>
        </w:rPr>
        <w:t xml:space="preserve">How patients move through the clinical experience from inquiry to post-treatment.</w:t>
      </w:r>
    </w:p>
    <w:p>
      <w:pPr>
        <w:pStyle w:val="ListParagraph"/>
        <w:numPr>
          <w:ilvl w:val="0"/>
          <w:numId w:val="2"/>
        </w:numPr>
        <w:spacing w:after="50" w:before="50"/>
      </w:pPr>
      <w:r>
        <w:rPr>
          <w:rFonts w:ascii="Arial" w:cs="Arial" w:eastAsia="Arial" w:hAnsi="Arial"/>
          <w:b/>
          <w:bCs/>
          <w:color w:val="111111"/>
          <w:sz w:val="23"/>
          <w:szCs w:val="23"/>
        </w:rPr>
        <w:t xml:space="preserve">Ongoing oversight: </w:t>
      </w:r>
      <w:r>
        <w:rPr>
          <w:rFonts w:ascii="Arial" w:cs="Arial" w:eastAsia="Arial" w:hAnsi="Arial"/>
          <w:color w:val="444444"/>
          <w:sz w:val="23"/>
          <w:szCs w:val="23"/>
        </w:rPr>
        <w:t xml:space="preserve">Dr. Arora's involvement is continuous — not a one-time signature.</w:t>
      </w:r>
    </w:p>
    <w:p>
      <w:pPr>
        <w:pStyle w:val="ListParagraph"/>
        <w:numPr>
          <w:ilvl w:val="0"/>
          <w:numId w:val="2"/>
        </w:numPr>
        <w:spacing w:after="50" w:before="50"/>
      </w:pPr>
      <w:r>
        <w:rPr>
          <w:rFonts w:ascii="Arial" w:cs="Arial" w:eastAsia="Arial" w:hAnsi="Arial"/>
          <w:b/>
          <w:bCs/>
          <w:color w:val="111111"/>
          <w:sz w:val="23"/>
          <w:szCs w:val="23"/>
        </w:rPr>
        <w:t xml:space="preserve">$0 additional cost: </w:t>
      </w:r>
      <w:r>
        <w:rPr>
          <w:rFonts w:ascii="Arial" w:cs="Arial" w:eastAsia="Arial" w:hAnsi="Arial"/>
          <w:color w:val="444444"/>
          <w:sz w:val="23"/>
          <w:szCs w:val="23"/>
        </w:rPr>
        <w:t xml:space="preserve">No separate contract. No retainer. No sourcing required.</w:t>
      </w:r>
    </w:p>
    <w:p>
      <w:pPr>
        <w:spacing w:after="40" w:before="160"/>
      </w:pPr>
      <w:r>
        <w:rPr>
          <w:rFonts w:ascii="Arial" w:cs="Arial" w:eastAsia="Arial" w:hAnsi="Arial"/>
          <w:b/>
          <w:bCs/>
          <w:color w:val="C8923A"/>
          <w:sz w:val="36"/>
          <w:szCs w:val="36"/>
        </w:rPr>
        <w:t xml:space="preserve">$60K–$180K/year </w:t>
      </w:r>
    </w:p>
    <w:p>
      <w:pPr>
        <w:spacing w:after="160" w:before="0"/>
      </w:pPr>
      <w:r>
        <w:rPr>
          <w:rFonts w:ascii="Arial" w:cs="Arial" w:eastAsia="Arial" w:hAnsi="Arial"/>
          <w:color w:val="777777"/>
          <w:sz w:val="20"/>
          <w:szCs w:val="20"/>
        </w:rPr>
        <w:t xml:space="preserve">Market rate for a Board-Certified MD acting as Medical Director. Included in your license.</w:t>
      </w:r>
    </w:p>
    <w:p>
      <w:pPr>
        <w:shd w:fill="EEF4FF" w:val="clear"/>
        <w:spacing w:after="80" w:before="80"/>
        <w:ind w:left="360"/>
      </w:pPr>
      <w:r>
        <w:rPr>
          <w:rFonts w:ascii="Arial" w:cs="Arial" w:eastAsia="Arial" w:hAnsi="Arial"/>
          <w:b/>
          <w:bCs/>
          <w:color w:val="2255AA"/>
          <w:sz w:val="20"/>
          <w:szCs w:val="20"/>
        </w:rPr>
        <w:t xml:space="preserve">👤  Dr. Arora anchor — this card is where his full section on the page should be teased: 'Meet Dr. Arora in detail in the next section →'</w:t>
      </w:r>
    </w:p>
    <w:p>
      <w:pPr>
        <w:pBdr>
          <w:bottom w:val="single" w:color="DDDDDD" w:sz="2" w:space="1"/>
        </w:pBdr>
        <w:spacing w:after="200" w:before="200"/>
      </w:pPr>
    </w:p>
    <w:p>
      <w:pPr>
        <w:spacing w:after="60" w:before="240"/>
      </w:pPr>
      <w:r>
        <w:rPr>
          <w:rFonts w:ascii="Arial" w:cs="Arial" w:eastAsia="Arial" w:hAnsi="Arial"/>
          <w:b/>
          <w:bCs/>
          <w:color w:val="C8923A"/>
          <w:sz w:val="22"/>
          <w:szCs w:val="22"/>
        </w:rPr>
        <w:t xml:space="preserve">04  </w:t>
      </w:r>
      <w:r>
        <w:rPr>
          <w:rFonts w:ascii="Arial" w:cs="Arial" w:eastAsia="Arial" w:hAnsi="Arial"/>
          <w:b/>
          <w:bCs/>
          <w:caps/>
          <w:color w:val="C8923A"/>
          <w:sz w:val="22"/>
          <w:szCs w:val="22"/>
        </w:rPr>
        <w:t xml:space="preserve">MULTI-CHANNEL PATIENT DEMAND ENGINE</w:t>
      </w:r>
    </w:p>
    <w:p>
      <w:pPr>
        <w:spacing w:after="120" w:before="0"/>
      </w:pPr>
      <w:r>
        <w:rPr>
          <w:rFonts w:ascii="Arial" w:cs="Arial" w:eastAsia="Arial" w:hAnsi="Arial"/>
          <w:b/>
          <w:bCs/>
          <w:color w:val="111111"/>
          <w:sz w:val="32"/>
          <w:szCs w:val="32"/>
        </w:rPr>
        <w:t xml:space="preserve">A Full Room Before the First Attendee Walks In.</w:t>
      </w:r>
    </w:p>
    <w:p>
      <w:pPr>
        <w:spacing w:after="120" w:before="0"/>
      </w:pPr>
      <w:r>
        <w:rPr>
          <w:rFonts w:ascii="Arial" w:cs="Arial" w:eastAsia="Arial" w:hAnsi="Arial"/>
          <w:color w:val="444444"/>
          <w:sz w:val="24"/>
          <w:szCs w:val="24"/>
        </w:rPr>
        <w:t xml:space="preserve">A dinner seminar is only as good as the room you fill. The Patient Demand Engine is the multi-channel marketing infrastructure that keeps your event calendar full and your lead pipeline active between seminars. It runs across paid digital, direct mail, database reactivation, and local community outreach — all built around the dinner seminar format and pre-configured for regenerative medicine audiences.</w:t>
      </w:r>
    </w:p>
    <w:p>
      <w:pPr>
        <w:pStyle w:val="ListParagraph"/>
        <w:numPr>
          <w:ilvl w:val="0"/>
          <w:numId w:val="2"/>
        </w:numPr>
        <w:spacing w:after="50" w:before="50"/>
      </w:pPr>
      <w:r>
        <w:rPr>
          <w:rFonts w:ascii="Arial" w:cs="Arial" w:eastAsia="Arial" w:hAnsi="Arial"/>
          <w:b/>
          <w:bCs/>
          <w:color w:val="111111"/>
          <w:sz w:val="23"/>
          <w:szCs w:val="23"/>
        </w:rPr>
        <w:t xml:space="preserve">Direct mail system: </w:t>
      </w:r>
      <w:r>
        <w:rPr>
          <w:rFonts w:ascii="Arial" w:cs="Arial" w:eastAsia="Arial" w:hAnsi="Arial"/>
          <w:color w:val="444444"/>
          <w:sz w:val="23"/>
          <w:szCs w:val="23"/>
        </w:rPr>
        <w:t xml:space="preserve">Event invitation campaigns targeting the right demographics in your territory.</w:t>
      </w:r>
    </w:p>
    <w:p>
      <w:pPr>
        <w:pStyle w:val="ListParagraph"/>
        <w:numPr>
          <w:ilvl w:val="0"/>
          <w:numId w:val="2"/>
        </w:numPr>
        <w:spacing w:after="50" w:before="50"/>
      </w:pPr>
      <w:r>
        <w:rPr>
          <w:rFonts w:ascii="Arial" w:cs="Arial" w:eastAsia="Arial" w:hAnsi="Arial"/>
          <w:b/>
          <w:bCs/>
          <w:color w:val="111111"/>
          <w:sz w:val="23"/>
          <w:szCs w:val="23"/>
        </w:rPr>
        <w:t xml:space="preserve">Facebook + Google ad system: </w:t>
      </w:r>
      <w:r>
        <w:rPr>
          <w:rFonts w:ascii="Arial" w:cs="Arial" w:eastAsia="Arial" w:hAnsi="Arial"/>
          <w:color w:val="444444"/>
          <w:sz w:val="23"/>
          <w:szCs w:val="23"/>
        </w:rPr>
        <w:t xml:space="preserve">Paid traffic campaigns pre-built for regenerative medicine event promotion.</w:t>
      </w:r>
    </w:p>
    <w:p>
      <w:pPr>
        <w:pStyle w:val="ListParagraph"/>
        <w:numPr>
          <w:ilvl w:val="0"/>
          <w:numId w:val="2"/>
        </w:numPr>
        <w:spacing w:after="50" w:before="50"/>
      </w:pPr>
      <w:r>
        <w:rPr>
          <w:rFonts w:ascii="Arial" w:cs="Arial" w:eastAsia="Arial" w:hAnsi="Arial"/>
          <w:b/>
          <w:bCs/>
          <w:color w:val="111111"/>
          <w:sz w:val="23"/>
          <w:szCs w:val="23"/>
        </w:rPr>
        <w:t xml:space="preserve">Database reactivation: </w:t>
      </w:r>
      <w:r>
        <w:rPr>
          <w:rFonts w:ascii="Arial" w:cs="Arial" w:eastAsia="Arial" w:hAnsi="Arial"/>
          <w:color w:val="444444"/>
          <w:sz w:val="23"/>
          <w:szCs w:val="23"/>
        </w:rPr>
        <w:t xml:space="preserve">Automated sequences to re-engage existing contacts, referrals, and past inquiries.</w:t>
      </w:r>
    </w:p>
    <w:p>
      <w:pPr>
        <w:pStyle w:val="ListParagraph"/>
        <w:numPr>
          <w:ilvl w:val="0"/>
          <w:numId w:val="2"/>
        </w:numPr>
        <w:spacing w:after="50" w:before="50"/>
      </w:pPr>
      <w:r>
        <w:rPr>
          <w:rFonts w:ascii="Arial" w:cs="Arial" w:eastAsia="Arial" w:hAnsi="Arial"/>
          <w:b/>
          <w:bCs/>
          <w:color w:val="111111"/>
          <w:sz w:val="23"/>
          <w:szCs w:val="23"/>
        </w:rPr>
        <w:t xml:space="preserve">Landing pages + booking flows: </w:t>
      </w:r>
      <w:r>
        <w:rPr>
          <w:rFonts w:ascii="Arial" w:cs="Arial" w:eastAsia="Arial" w:hAnsi="Arial"/>
          <w:color w:val="444444"/>
          <w:sz w:val="23"/>
          <w:szCs w:val="23"/>
        </w:rPr>
        <w:t xml:space="preserve">Conversion-ready RSVP pages built specifically for dinner seminar registration.</w:t>
      </w:r>
    </w:p>
    <w:p>
      <w:pPr>
        <w:pStyle w:val="ListParagraph"/>
        <w:numPr>
          <w:ilvl w:val="0"/>
          <w:numId w:val="2"/>
        </w:numPr>
        <w:spacing w:after="50" w:before="50"/>
      </w:pPr>
      <w:r>
        <w:rPr>
          <w:rFonts w:ascii="Arial" w:cs="Arial" w:eastAsia="Arial" w:hAnsi="Arial"/>
          <w:b/>
          <w:bCs/>
          <w:color w:val="111111"/>
          <w:sz w:val="23"/>
          <w:szCs w:val="23"/>
        </w:rPr>
        <w:t xml:space="preserve">SEO content engine: </w:t>
      </w:r>
      <w:r>
        <w:rPr>
          <w:rFonts w:ascii="Arial" w:cs="Arial" w:eastAsia="Arial" w:hAnsi="Arial"/>
          <w:color w:val="444444"/>
          <w:sz w:val="23"/>
          <w:szCs w:val="23"/>
        </w:rPr>
        <w:t xml:space="preserve">Authority content that builds local search presence between events.</w:t>
      </w:r>
    </w:p>
    <w:p>
      <w:pPr>
        <w:pStyle w:val="ListParagraph"/>
        <w:numPr>
          <w:ilvl w:val="0"/>
          <w:numId w:val="2"/>
        </w:numPr>
        <w:spacing w:after="50" w:before="50"/>
      </w:pPr>
      <w:r>
        <w:rPr>
          <w:rFonts w:ascii="Arial" w:cs="Arial" w:eastAsia="Arial" w:hAnsi="Arial"/>
          <w:b/>
          <w:bCs/>
          <w:color w:val="111111"/>
          <w:sz w:val="23"/>
          <w:szCs w:val="23"/>
        </w:rPr>
        <w:t xml:space="preserve">Email + SMS nurture sequences: </w:t>
      </w:r>
      <w:r>
        <w:rPr>
          <w:rFonts w:ascii="Arial" w:cs="Arial" w:eastAsia="Arial" w:hAnsi="Arial"/>
          <w:color w:val="444444"/>
          <w:sz w:val="23"/>
          <w:szCs w:val="23"/>
        </w:rPr>
        <w:t xml:space="preserve">Pre-event education campaigns that warm attendees before they arrive.</w:t>
      </w:r>
    </w:p>
    <w:p>
      <w:pPr>
        <w:pBdr>
          <w:bottom w:val="single" w:color="DDDDDD" w:sz="2" w:space="1"/>
        </w:pBdr>
        <w:spacing w:after="200" w:before="200"/>
      </w:pPr>
    </w:p>
    <w:p>
      <w:pPr>
        <w:spacing w:after="60" w:before="240"/>
      </w:pPr>
      <w:r>
        <w:rPr>
          <w:rFonts w:ascii="Arial" w:cs="Arial" w:eastAsia="Arial" w:hAnsi="Arial"/>
          <w:b/>
          <w:bCs/>
          <w:color w:val="C8923A"/>
          <w:sz w:val="22"/>
          <w:szCs w:val="22"/>
        </w:rPr>
        <w:t xml:space="preserve">05  </w:t>
      </w:r>
      <w:r>
        <w:rPr>
          <w:rFonts w:ascii="Arial" w:cs="Arial" w:eastAsia="Arial" w:hAnsi="Arial"/>
          <w:b/>
          <w:bCs/>
          <w:caps/>
          <w:color w:val="C8923A"/>
          <w:sz w:val="22"/>
          <w:szCs w:val="22"/>
        </w:rPr>
        <w:t xml:space="preserve">DIGITAL FRONT DOOR — WEBSITE &amp; CONVERSION SYSTEM</w:t>
      </w:r>
    </w:p>
    <w:p>
      <w:pPr>
        <w:spacing w:after="120" w:before="0"/>
      </w:pPr>
      <w:r>
        <w:rPr>
          <w:rFonts w:ascii="Arial" w:cs="Arial" w:eastAsia="Arial" w:hAnsi="Arial"/>
          <w:b/>
          <w:bCs/>
          <w:color w:val="111111"/>
          <w:sz w:val="32"/>
          <w:szCs w:val="32"/>
        </w:rPr>
        <w:t xml:space="preserve">A Premium Online Presence That Works Before the First Call.</w:t>
      </w:r>
    </w:p>
    <w:p>
      <w:pPr>
        <w:spacing w:after="120" w:before="0"/>
      </w:pPr>
      <w:r>
        <w:rPr>
          <w:rFonts w:ascii="Arial" w:cs="Arial" w:eastAsia="Arial" w:hAnsi="Arial"/>
          <w:color w:val="444444"/>
          <w:sz w:val="24"/>
          <w:szCs w:val="24"/>
        </w:rPr>
        <w:t xml:space="preserve">Before a patient calls, books, or walks into a seminar, they search. Your territory's digital presence is what earns their trust before any human interaction occurs. The Digital Front Door is a conversion-ready web presence — built for regenerative medicine, pre-loaded with patient education content, and designed to capture and route inbound demand toward a consultation or seminar RSVP.</w:t>
      </w:r>
    </w:p>
    <w:p>
      <w:pPr>
        <w:pStyle w:val="ListParagraph"/>
        <w:numPr>
          <w:ilvl w:val="0"/>
          <w:numId w:val="2"/>
        </w:numPr>
        <w:spacing w:after="50" w:before="50"/>
      </w:pPr>
      <w:r>
        <w:rPr>
          <w:rFonts w:ascii="Arial" w:cs="Arial" w:eastAsia="Arial" w:hAnsi="Arial"/>
          <w:b/>
          <w:bCs/>
          <w:color w:val="111111"/>
          <w:sz w:val="23"/>
          <w:szCs w:val="23"/>
        </w:rPr>
        <w:t xml:space="preserve">Main public-facing website: </w:t>
      </w:r>
      <w:r>
        <w:rPr>
          <w:rFonts w:ascii="Arial" w:cs="Arial" w:eastAsia="Arial" w:hAnsi="Arial"/>
          <w:color w:val="444444"/>
          <w:sz w:val="23"/>
          <w:szCs w:val="23"/>
        </w:rPr>
        <w:t xml:space="preserve">Premium, conversion-optimized, and pre-built for your territory.</w:t>
      </w:r>
    </w:p>
    <w:p>
      <w:pPr>
        <w:pStyle w:val="ListParagraph"/>
        <w:numPr>
          <w:ilvl w:val="0"/>
          <w:numId w:val="2"/>
        </w:numPr>
        <w:spacing w:after="50" w:before="50"/>
      </w:pPr>
      <w:r>
        <w:rPr>
          <w:rFonts w:ascii="Arial" w:cs="Arial" w:eastAsia="Arial" w:hAnsi="Arial"/>
          <w:b/>
          <w:bCs/>
          <w:color w:val="111111"/>
          <w:sz w:val="23"/>
          <w:szCs w:val="23"/>
        </w:rPr>
        <w:t xml:space="preserve">Patient education pages: </w:t>
      </w:r>
      <w:r>
        <w:rPr>
          <w:rFonts w:ascii="Arial" w:cs="Arial" w:eastAsia="Arial" w:hAnsi="Arial"/>
          <w:color w:val="444444"/>
          <w:sz w:val="23"/>
          <w:szCs w:val="23"/>
        </w:rPr>
        <w:t xml:space="preserve">Condition-specific content that educates prospects before they book.</w:t>
      </w:r>
    </w:p>
    <w:p>
      <w:pPr>
        <w:pStyle w:val="ListParagraph"/>
        <w:numPr>
          <w:ilvl w:val="0"/>
          <w:numId w:val="2"/>
        </w:numPr>
        <w:spacing w:after="50" w:before="50"/>
      </w:pPr>
      <w:r>
        <w:rPr>
          <w:rFonts w:ascii="Arial" w:cs="Arial" w:eastAsia="Arial" w:hAnsi="Arial"/>
          <w:b/>
          <w:bCs/>
          <w:color w:val="111111"/>
          <w:sz w:val="23"/>
          <w:szCs w:val="23"/>
        </w:rPr>
        <w:t xml:space="preserve">Offer and program pages: </w:t>
      </w:r>
      <w:r>
        <w:rPr>
          <w:rFonts w:ascii="Arial" w:cs="Arial" w:eastAsia="Arial" w:hAnsi="Arial"/>
          <w:color w:val="444444"/>
          <w:sz w:val="23"/>
          <w:szCs w:val="23"/>
        </w:rPr>
        <w:t xml:space="preserve">Therapy descriptions, pricing structures, and outcome framing.</w:t>
      </w:r>
    </w:p>
    <w:p>
      <w:pPr>
        <w:pStyle w:val="ListParagraph"/>
        <w:numPr>
          <w:ilvl w:val="0"/>
          <w:numId w:val="2"/>
        </w:numPr>
        <w:spacing w:after="50" w:before="50"/>
      </w:pPr>
      <w:r>
        <w:rPr>
          <w:rFonts w:ascii="Arial" w:cs="Arial" w:eastAsia="Arial" w:hAnsi="Arial"/>
          <w:b/>
          <w:bCs/>
          <w:color w:val="111111"/>
          <w:sz w:val="23"/>
          <w:szCs w:val="23"/>
        </w:rPr>
        <w:t xml:space="preserve">Booking + intake integration: </w:t>
      </w:r>
      <w:r>
        <w:rPr>
          <w:rFonts w:ascii="Arial" w:cs="Arial" w:eastAsia="Arial" w:hAnsi="Arial"/>
          <w:color w:val="444444"/>
          <w:sz w:val="23"/>
          <w:szCs w:val="23"/>
        </w:rPr>
        <w:t xml:space="preserve">Direct calendar connection and e-signature/payment-ready intake flows.</w:t>
      </w:r>
    </w:p>
    <w:p>
      <w:pPr>
        <w:pStyle w:val="ListParagraph"/>
        <w:numPr>
          <w:ilvl w:val="0"/>
          <w:numId w:val="2"/>
        </w:numPr>
        <w:spacing w:after="50" w:before="50"/>
      </w:pPr>
      <w:r>
        <w:rPr>
          <w:rFonts w:ascii="Arial" w:cs="Arial" w:eastAsia="Arial" w:hAnsi="Arial"/>
          <w:b/>
          <w:bCs/>
          <w:color w:val="111111"/>
          <w:sz w:val="23"/>
          <w:szCs w:val="23"/>
        </w:rPr>
        <w:t xml:space="preserve">Blog + authority content hub: </w:t>
      </w:r>
      <w:r>
        <w:rPr>
          <w:rFonts w:ascii="Arial" w:cs="Arial" w:eastAsia="Arial" w:hAnsi="Arial"/>
          <w:color w:val="444444"/>
          <w:sz w:val="23"/>
          <w:szCs w:val="23"/>
        </w:rPr>
        <w:t xml:space="preserve">SEO foundation with 5–10 articles pre-loaded at launch.</w:t>
      </w:r>
    </w:p>
    <w:p>
      <w:pPr>
        <w:pStyle w:val="ListParagraph"/>
        <w:numPr>
          <w:ilvl w:val="0"/>
          <w:numId w:val="2"/>
        </w:numPr>
        <w:spacing w:after="50" w:before="50"/>
      </w:pPr>
      <w:r>
        <w:rPr>
          <w:rFonts w:ascii="Arial" w:cs="Arial" w:eastAsia="Arial" w:hAnsi="Arial"/>
          <w:b/>
          <w:bCs/>
          <w:color w:val="111111"/>
          <w:sz w:val="23"/>
          <w:szCs w:val="23"/>
        </w:rPr>
        <w:t xml:space="preserve">Mobile-optimized: </w:t>
      </w:r>
      <w:r>
        <w:rPr>
          <w:rFonts w:ascii="Arial" w:cs="Arial" w:eastAsia="Arial" w:hAnsi="Arial"/>
          <w:color w:val="444444"/>
          <w:sz w:val="23"/>
          <w:szCs w:val="23"/>
        </w:rPr>
        <w:t xml:space="preserve">Fully responsive across all devices — critical for the 60%+ of traffic that comes from mobile.</w:t>
      </w:r>
    </w:p>
    <w:p>
      <w:pPr>
        <w:pBdr>
          <w:bottom w:val="single" w:color="DDDDDD" w:sz="2" w:space="1"/>
        </w:pBdr>
        <w:spacing w:after="200" w:before="200"/>
      </w:pPr>
    </w:p>
    <w:p>
      <w:pPr>
        <w:spacing w:after="60" w:before="240"/>
      </w:pPr>
      <w:r>
        <w:rPr>
          <w:rFonts w:ascii="Arial" w:cs="Arial" w:eastAsia="Arial" w:hAnsi="Arial"/>
          <w:b/>
          <w:bCs/>
          <w:color w:val="C8923A"/>
          <w:sz w:val="22"/>
          <w:szCs w:val="22"/>
        </w:rPr>
        <w:t xml:space="preserve">06  </w:t>
      </w:r>
      <w:r>
        <w:rPr>
          <w:rFonts w:ascii="Arial" w:cs="Arial" w:eastAsia="Arial" w:hAnsi="Arial"/>
          <w:b/>
          <w:bCs/>
          <w:caps/>
          <w:color w:val="C8923A"/>
          <w:sz w:val="22"/>
          <w:szCs w:val="22"/>
        </w:rPr>
        <w:t xml:space="preserve">PATIENT TRUST &amp; AUTHORITY ASSETS</w:t>
      </w:r>
    </w:p>
    <w:p>
      <w:pPr>
        <w:spacing w:after="120" w:before="0"/>
      </w:pPr>
      <w:r>
        <w:rPr>
          <w:rFonts w:ascii="Arial" w:cs="Arial" w:eastAsia="Arial" w:hAnsi="Arial"/>
          <w:b/>
          <w:bCs/>
          <w:color w:val="111111"/>
          <w:sz w:val="32"/>
          <w:szCs w:val="32"/>
        </w:rPr>
        <w:t xml:space="preserve">The Content That Earns Trust Before the First Conversation.</w:t>
      </w:r>
    </w:p>
    <w:p>
      <w:pPr>
        <w:spacing w:after="120" w:before="0"/>
      </w:pPr>
      <w:r>
        <w:rPr>
          <w:rFonts w:ascii="Arial" w:cs="Arial" w:eastAsia="Arial" w:hAnsi="Arial"/>
          <w:color w:val="444444"/>
          <w:sz w:val="24"/>
          <w:szCs w:val="24"/>
        </w:rPr>
        <w:t xml:space="preserve">In regenerative medicine, the buying decision happens long before a patient picks up the phone. They consume content, compare providers, and form opinions about credibility before any consultation is ever booked. The Authority Asset library gives your territory the education materials, credibility content, and trust-building collateral needed to become the most legitimate-feeling regenerative option in your local market.</w:t>
      </w:r>
    </w:p>
    <w:p>
      <w:pPr>
        <w:pStyle w:val="ListParagraph"/>
        <w:numPr>
          <w:ilvl w:val="0"/>
          <w:numId w:val="2"/>
        </w:numPr>
        <w:spacing w:after="50" w:before="50"/>
      </w:pPr>
      <w:r>
        <w:rPr>
          <w:rFonts w:ascii="Arial" w:cs="Arial" w:eastAsia="Arial" w:hAnsi="Arial"/>
          <w:b/>
          <w:bCs/>
          <w:color w:val="111111"/>
          <w:sz w:val="23"/>
          <w:szCs w:val="23"/>
        </w:rPr>
        <w:t xml:space="preserve">Seminar materials: </w:t>
      </w:r>
      <w:r>
        <w:rPr>
          <w:rFonts w:ascii="Arial" w:cs="Arial" w:eastAsia="Arial" w:hAnsi="Arial"/>
          <w:color w:val="444444"/>
          <w:sz w:val="23"/>
          <w:szCs w:val="23"/>
        </w:rPr>
        <w:t xml:space="preserve">Printed and digital handouts, brochures, and take-home packets for dinner event attendees.</w:t>
      </w:r>
    </w:p>
    <w:p>
      <w:pPr>
        <w:pStyle w:val="ListParagraph"/>
        <w:numPr>
          <w:ilvl w:val="0"/>
          <w:numId w:val="2"/>
        </w:numPr>
        <w:spacing w:after="50" w:before="50"/>
      </w:pPr>
      <w:r>
        <w:rPr>
          <w:rFonts w:ascii="Arial" w:cs="Arial" w:eastAsia="Arial" w:hAnsi="Arial"/>
          <w:b/>
          <w:bCs/>
          <w:color w:val="111111"/>
          <w:sz w:val="23"/>
          <w:szCs w:val="23"/>
        </w:rPr>
        <w:t xml:space="preserve">Patient explainer content: </w:t>
      </w:r>
      <w:r>
        <w:rPr>
          <w:rFonts w:ascii="Arial" w:cs="Arial" w:eastAsia="Arial" w:hAnsi="Arial"/>
          <w:color w:val="444444"/>
          <w:sz w:val="23"/>
          <w:szCs w:val="23"/>
        </w:rPr>
        <w:t xml:space="preserve">Condition-by-condition education materials covering regenerative therapy outcomes and process.</w:t>
      </w:r>
    </w:p>
    <w:p>
      <w:pPr>
        <w:pStyle w:val="ListParagraph"/>
        <w:numPr>
          <w:ilvl w:val="0"/>
          <w:numId w:val="2"/>
        </w:numPr>
        <w:spacing w:after="50" w:before="50"/>
      </w:pPr>
      <w:r>
        <w:rPr>
          <w:rFonts w:ascii="Arial" w:cs="Arial" w:eastAsia="Arial" w:hAnsi="Arial"/>
          <w:b/>
          <w:bCs/>
          <w:color w:val="111111"/>
          <w:sz w:val="23"/>
          <w:szCs w:val="23"/>
        </w:rPr>
        <w:t xml:space="preserve">Provider credibility assets: </w:t>
      </w:r>
      <w:r>
        <w:rPr>
          <w:rFonts w:ascii="Arial" w:cs="Arial" w:eastAsia="Arial" w:hAnsi="Arial"/>
          <w:color w:val="444444"/>
          <w:sz w:val="23"/>
          <w:szCs w:val="23"/>
        </w:rPr>
        <w:t xml:space="preserve">Biography templates, credential displays, and clinical authority framing for the territory.</w:t>
      </w:r>
    </w:p>
    <w:p>
      <w:pPr>
        <w:pStyle w:val="ListParagraph"/>
        <w:numPr>
          <w:ilvl w:val="0"/>
          <w:numId w:val="2"/>
        </w:numPr>
        <w:spacing w:after="50" w:before="50"/>
      </w:pPr>
      <w:r>
        <w:rPr>
          <w:rFonts w:ascii="Arial" w:cs="Arial" w:eastAsia="Arial" w:hAnsi="Arial"/>
          <w:b/>
          <w:bCs/>
          <w:color w:val="111111"/>
          <w:sz w:val="23"/>
          <w:szCs w:val="23"/>
        </w:rPr>
        <w:t xml:space="preserve">Video content framework: </w:t>
      </w:r>
      <w:r>
        <w:rPr>
          <w:rFonts w:ascii="Arial" w:cs="Arial" w:eastAsia="Arial" w:hAnsi="Arial"/>
          <w:color w:val="444444"/>
          <w:sz w:val="23"/>
          <w:szCs w:val="23"/>
        </w:rPr>
        <w:t xml:space="preserve">Foundation video scripts covering key therapies, FAQs, and patient journey stories.</w:t>
      </w:r>
    </w:p>
    <w:p>
      <w:pPr>
        <w:pStyle w:val="ListParagraph"/>
        <w:numPr>
          <w:ilvl w:val="0"/>
          <w:numId w:val="2"/>
        </w:numPr>
        <w:spacing w:after="50" w:before="50"/>
      </w:pPr>
      <w:r>
        <w:rPr>
          <w:rFonts w:ascii="Arial" w:cs="Arial" w:eastAsia="Arial" w:hAnsi="Arial"/>
          <w:b/>
          <w:bCs/>
          <w:color w:val="111111"/>
          <w:sz w:val="23"/>
          <w:szCs w:val="23"/>
        </w:rPr>
        <w:t xml:space="preserve">Social proof templates: </w:t>
      </w:r>
      <w:r>
        <w:rPr>
          <w:rFonts w:ascii="Arial" w:cs="Arial" w:eastAsia="Arial" w:hAnsi="Arial"/>
          <w:color w:val="444444"/>
          <w:sz w:val="23"/>
          <w:szCs w:val="23"/>
        </w:rPr>
        <w:t xml:space="preserve">Patient outcome framing, review collection, and testimonial presentation assets.</w:t>
      </w:r>
    </w:p>
    <w:p>
      <w:pPr>
        <w:pStyle w:val="ListParagraph"/>
        <w:numPr>
          <w:ilvl w:val="0"/>
          <w:numId w:val="2"/>
        </w:numPr>
        <w:spacing w:after="50" w:before="50"/>
      </w:pPr>
      <w:r>
        <w:rPr>
          <w:rFonts w:ascii="Arial" w:cs="Arial" w:eastAsia="Arial" w:hAnsi="Arial"/>
          <w:b/>
          <w:bCs/>
          <w:color w:val="111111"/>
          <w:sz w:val="23"/>
          <w:szCs w:val="23"/>
        </w:rPr>
        <w:t xml:space="preserve">Sales brochure package: </w:t>
      </w:r>
      <w:r>
        <w:rPr>
          <w:rFonts w:ascii="Arial" w:cs="Arial" w:eastAsia="Arial" w:hAnsi="Arial"/>
          <w:color w:val="444444"/>
          <w:sz w:val="23"/>
          <w:szCs w:val="23"/>
        </w:rPr>
        <w:t xml:space="preserve">Bi-fold and tri-fold print templates for event follow-up and referral use.</w:t>
      </w:r>
    </w:p>
    <w:p>
      <w:pPr>
        <w:pBdr>
          <w:bottom w:val="single" w:color="DDDDDD" w:sz="2" w:space="1"/>
        </w:pBdr>
        <w:spacing w:after="200" w:before="200"/>
      </w:pPr>
    </w:p>
    <w:p>
      <w:pPr>
        <w:spacing w:after="60" w:before="240"/>
      </w:pPr>
      <w:r>
        <w:rPr>
          <w:rFonts w:ascii="Arial" w:cs="Arial" w:eastAsia="Arial" w:hAnsi="Arial"/>
          <w:b/>
          <w:bCs/>
          <w:color w:val="C8923A"/>
          <w:sz w:val="22"/>
          <w:szCs w:val="22"/>
        </w:rPr>
        <w:t xml:space="preserve">07  </w:t>
      </w:r>
      <w:r>
        <w:rPr>
          <w:rFonts w:ascii="Arial" w:cs="Arial" w:eastAsia="Arial" w:hAnsi="Arial"/>
          <w:b/>
          <w:bCs/>
          <w:caps/>
          <w:color w:val="C8923A"/>
          <w:sz w:val="22"/>
          <w:szCs w:val="22"/>
        </w:rPr>
        <w:t xml:space="preserve">CRM &amp; PRACTICE COMMAND CENTER</w:t>
      </w:r>
    </w:p>
    <w:p>
      <w:pPr>
        <w:spacing w:after="120" w:before="0"/>
      </w:pPr>
      <w:r>
        <w:rPr>
          <w:rFonts w:ascii="Arial" w:cs="Arial" w:eastAsia="Arial" w:hAnsi="Arial"/>
          <w:b/>
          <w:bCs/>
          <w:color w:val="111111"/>
          <w:sz w:val="32"/>
          <w:szCs w:val="32"/>
        </w:rPr>
        <w:t xml:space="preserve">One Hub. Every Lead. Every Stage. Full Visibility.</w:t>
      </w:r>
    </w:p>
    <w:p>
      <w:pPr>
        <w:spacing w:after="120" w:before="0"/>
      </w:pPr>
      <w:r>
        <w:rPr>
          <w:rFonts w:ascii="Arial" w:cs="Arial" w:eastAsia="Arial" w:hAnsi="Arial"/>
          <w:color w:val="444444"/>
          <w:sz w:val="24"/>
          <w:szCs w:val="24"/>
        </w:rPr>
        <w:t xml:space="preserve">A revenue engine without a command center is a car without a dashboard. The Practice Command Center is the operational backbone of your territory — a fully configured CRM and practice management hub that tracks every lead from first inquiry to closed case, manages consultation flow, automates follow-up, and gives you real-time visibility into what's working and what needs attention.</w:t>
      </w:r>
    </w:p>
    <w:p>
      <w:pPr>
        <w:pStyle w:val="ListParagraph"/>
        <w:numPr>
          <w:ilvl w:val="0"/>
          <w:numId w:val="2"/>
        </w:numPr>
        <w:spacing w:after="50" w:before="50"/>
      </w:pPr>
      <w:r>
        <w:rPr>
          <w:rFonts w:ascii="Arial" w:cs="Arial" w:eastAsia="Arial" w:hAnsi="Arial"/>
          <w:b/>
          <w:bCs/>
          <w:color w:val="111111"/>
          <w:sz w:val="23"/>
          <w:szCs w:val="23"/>
        </w:rPr>
        <w:t xml:space="preserve">Lead pipeline management: </w:t>
      </w:r>
      <w:r>
        <w:rPr>
          <w:rFonts w:ascii="Arial" w:cs="Arial" w:eastAsia="Arial" w:hAnsi="Arial"/>
          <w:color w:val="444444"/>
          <w:sz w:val="23"/>
          <w:szCs w:val="23"/>
        </w:rPr>
        <w:t xml:space="preserve">Every inquiry, RSVP, and consultation request tracked from entry to conversion.</w:t>
      </w:r>
    </w:p>
    <w:p>
      <w:pPr>
        <w:pStyle w:val="ListParagraph"/>
        <w:numPr>
          <w:ilvl w:val="0"/>
          <w:numId w:val="2"/>
        </w:numPr>
        <w:spacing w:after="50" w:before="50"/>
      </w:pPr>
      <w:r>
        <w:rPr>
          <w:rFonts w:ascii="Arial" w:cs="Arial" w:eastAsia="Arial" w:hAnsi="Arial"/>
          <w:b/>
          <w:bCs/>
          <w:color w:val="111111"/>
          <w:sz w:val="23"/>
          <w:szCs w:val="23"/>
        </w:rPr>
        <w:t xml:space="preserve">Automated follow-up sequences: </w:t>
      </w:r>
      <w:r>
        <w:rPr>
          <w:rFonts w:ascii="Arial" w:cs="Arial" w:eastAsia="Arial" w:hAnsi="Arial"/>
          <w:color w:val="444444"/>
          <w:sz w:val="23"/>
          <w:szCs w:val="23"/>
        </w:rPr>
        <w:t xml:space="preserve">Pre-built nurture flows that keep prospects engaged without manual effort.</w:t>
      </w:r>
    </w:p>
    <w:p>
      <w:pPr>
        <w:pStyle w:val="ListParagraph"/>
        <w:numPr>
          <w:ilvl w:val="0"/>
          <w:numId w:val="2"/>
        </w:numPr>
        <w:spacing w:after="50" w:before="50"/>
      </w:pPr>
      <w:r>
        <w:rPr>
          <w:rFonts w:ascii="Arial" w:cs="Arial" w:eastAsia="Arial" w:hAnsi="Arial"/>
          <w:b/>
          <w:bCs/>
          <w:color w:val="111111"/>
          <w:sz w:val="23"/>
          <w:szCs w:val="23"/>
        </w:rPr>
        <w:t xml:space="preserve">No-show recovery: </w:t>
      </w:r>
      <w:r>
        <w:rPr>
          <w:rFonts w:ascii="Arial" w:cs="Arial" w:eastAsia="Arial" w:hAnsi="Arial"/>
          <w:color w:val="444444"/>
          <w:sz w:val="23"/>
          <w:szCs w:val="23"/>
        </w:rPr>
        <w:t xml:space="preserve">Automated re-engagement for missed appointments and consultations.</w:t>
      </w:r>
    </w:p>
    <w:p>
      <w:pPr>
        <w:pStyle w:val="ListParagraph"/>
        <w:numPr>
          <w:ilvl w:val="0"/>
          <w:numId w:val="2"/>
        </w:numPr>
        <w:spacing w:after="50" w:before="50"/>
      </w:pPr>
      <w:r>
        <w:rPr>
          <w:rFonts w:ascii="Arial" w:cs="Arial" w:eastAsia="Arial" w:hAnsi="Arial"/>
          <w:b/>
          <w:bCs/>
          <w:color w:val="111111"/>
          <w:sz w:val="23"/>
          <w:szCs w:val="23"/>
        </w:rPr>
        <w:t xml:space="preserve">Consultation booking system: </w:t>
      </w:r>
      <w:r>
        <w:rPr>
          <w:rFonts w:ascii="Arial" w:cs="Arial" w:eastAsia="Arial" w:hAnsi="Arial"/>
          <w:color w:val="444444"/>
          <w:sz w:val="23"/>
          <w:szCs w:val="23"/>
        </w:rPr>
        <w:t xml:space="preserve">Calendar integration with confirmation, reminder, and pre-appointment education flows.</w:t>
      </w:r>
    </w:p>
    <w:p>
      <w:pPr>
        <w:pStyle w:val="ListParagraph"/>
        <w:numPr>
          <w:ilvl w:val="0"/>
          <w:numId w:val="2"/>
        </w:numPr>
        <w:spacing w:after="50" w:before="50"/>
      </w:pPr>
      <w:r>
        <w:rPr>
          <w:rFonts w:ascii="Arial" w:cs="Arial" w:eastAsia="Arial" w:hAnsi="Arial"/>
          <w:b/>
          <w:bCs/>
          <w:color w:val="111111"/>
          <w:sz w:val="23"/>
          <w:szCs w:val="23"/>
        </w:rPr>
        <w:t xml:space="preserve">Reporting dashboard: </w:t>
      </w:r>
      <w:r>
        <w:rPr>
          <w:rFonts w:ascii="Arial" w:cs="Arial" w:eastAsia="Arial" w:hAnsi="Arial"/>
          <w:color w:val="444444"/>
          <w:sz w:val="23"/>
          <w:szCs w:val="23"/>
        </w:rPr>
        <w:t xml:space="preserve">Real-time visibility into lead volume, show rates, consultation conversion, and revenue attribution.</w:t>
      </w:r>
    </w:p>
    <w:p>
      <w:pPr>
        <w:pStyle w:val="ListParagraph"/>
        <w:numPr>
          <w:ilvl w:val="0"/>
          <w:numId w:val="2"/>
        </w:numPr>
        <w:spacing w:after="50" w:before="50"/>
      </w:pPr>
      <w:r>
        <w:rPr>
          <w:rFonts w:ascii="Arial" w:cs="Arial" w:eastAsia="Arial" w:hAnsi="Arial"/>
          <w:b/>
          <w:bCs/>
          <w:color w:val="111111"/>
          <w:sz w:val="23"/>
          <w:szCs w:val="23"/>
        </w:rPr>
        <w:t xml:space="preserve">SOPs + training library: </w:t>
      </w:r>
      <w:r>
        <w:rPr>
          <w:rFonts w:ascii="Arial" w:cs="Arial" w:eastAsia="Arial" w:hAnsi="Arial"/>
          <w:color w:val="444444"/>
          <w:sz w:val="23"/>
          <w:szCs w:val="23"/>
        </w:rPr>
        <w:t xml:space="preserve">Operational guidelines, staff onboarding materials, and protocol documentation in one place.</w:t>
      </w:r>
    </w:p>
    <w:p>
      <w:pPr>
        <w:pStyle w:val="ListParagraph"/>
        <w:numPr>
          <w:ilvl w:val="0"/>
          <w:numId w:val="2"/>
        </w:numPr>
        <w:spacing w:after="50" w:before="50"/>
      </w:pPr>
      <w:r>
        <w:rPr>
          <w:rFonts w:ascii="Arial" w:cs="Arial" w:eastAsia="Arial" w:hAnsi="Arial"/>
          <w:b/>
          <w:bCs/>
          <w:color w:val="111111"/>
          <w:sz w:val="23"/>
          <w:szCs w:val="23"/>
        </w:rPr>
        <w:t xml:space="preserve">Territory performance data: </w:t>
      </w:r>
      <w:r>
        <w:rPr>
          <w:rFonts w:ascii="Arial" w:cs="Arial" w:eastAsia="Arial" w:hAnsi="Arial"/>
          <w:color w:val="444444"/>
          <w:sz w:val="23"/>
          <w:szCs w:val="23"/>
        </w:rPr>
        <w:t xml:space="preserve">Event-by-event tracking so operators can see what's improving and where to focus.</w:t>
      </w:r>
    </w:p>
    <w:p>
      <w:pPr>
        <w:pBdr>
          <w:bottom w:val="single" w:color="DDDDDD" w:sz="2" w:space="1"/>
        </w:pBdr>
        <w:spacing w:after="200" w:before="200"/>
      </w:pPr>
    </w:p>
    <w:p>
      <w:pPr>
        <w:spacing w:after="60" w:before="240"/>
      </w:pPr>
      <w:r>
        <w:rPr>
          <w:rFonts w:ascii="Arial" w:cs="Arial" w:eastAsia="Arial" w:hAnsi="Arial"/>
          <w:b/>
          <w:bCs/>
          <w:color w:val="C8923A"/>
          <w:sz w:val="22"/>
          <w:szCs w:val="22"/>
        </w:rPr>
        <w:t xml:space="preserve">08  </w:t>
      </w:r>
      <w:r>
        <w:rPr>
          <w:rFonts w:ascii="Arial" w:cs="Arial" w:eastAsia="Arial" w:hAnsi="Arial"/>
          <w:b/>
          <w:bCs/>
          <w:caps/>
          <w:color w:val="C8923A"/>
          <w:sz w:val="22"/>
          <w:szCs w:val="22"/>
        </w:rPr>
        <w:t xml:space="preserve">STEM CELL SUPPLY — PREFERRED PRICING ACCESS</w:t>
      </w:r>
    </w:p>
    <w:p>
      <w:pPr>
        <w:spacing w:after="120" w:before="0"/>
      </w:pPr>
      <w:r>
        <w:rPr>
          <w:rFonts w:ascii="Arial" w:cs="Arial" w:eastAsia="Arial" w:hAnsi="Arial"/>
          <w:b/>
          <w:bCs/>
          <w:color w:val="111111"/>
          <w:sz w:val="32"/>
          <w:szCs w:val="32"/>
        </w:rPr>
        <w:t xml:space="preserve">The Sourcing Advantage That Protects Your Margins.</w:t>
      </w:r>
    </w:p>
    <w:p>
      <w:pPr>
        <w:spacing w:after="120" w:before="0"/>
      </w:pPr>
      <w:r>
        <w:rPr>
          <w:rFonts w:ascii="Arial" w:cs="Arial" w:eastAsia="Arial" w:hAnsi="Arial"/>
          <w:color w:val="444444"/>
          <w:sz w:val="24"/>
          <w:szCs w:val="24"/>
        </w:rPr>
        <w:t xml:space="preserve">Stem cell product costs are one of the biggest variables in a regenerative medicine practice's profitability. Operators sourcing independently pay retail — which compresses margins and makes high-ticket pricing harder to justify. Got Stem Cells? territory operators access stem cell products through Precision Biologics — the supply and distribution company Seth Berge founded — at preferred wholesale pricing. This is the same supply chain that has powered 100+ clinics. You're sourcing from the infrastructure, not buying from the shelf.</w:t>
      </w:r>
    </w:p>
    <w:p>
      <w:pPr>
        <w:pStyle w:val="ListParagraph"/>
        <w:numPr>
          <w:ilvl w:val="0"/>
          <w:numId w:val="2"/>
        </w:numPr>
        <w:spacing w:after="50" w:before="50"/>
      </w:pPr>
      <w:r>
        <w:rPr>
          <w:rFonts w:ascii="Arial" w:cs="Arial" w:eastAsia="Arial" w:hAnsi="Arial"/>
          <w:b/>
          <w:bCs/>
          <w:color w:val="111111"/>
          <w:sz w:val="23"/>
          <w:szCs w:val="23"/>
        </w:rPr>
        <w:t xml:space="preserve">Preferred wholesale pricing: </w:t>
      </w:r>
      <w:r>
        <w:rPr>
          <w:rFonts w:ascii="Arial" w:cs="Arial" w:eastAsia="Arial" w:hAnsi="Arial"/>
          <w:color w:val="444444"/>
          <w:sz w:val="23"/>
          <w:szCs w:val="23"/>
        </w:rPr>
        <w:t xml:space="preserve">Significant cost advantage over independently sourcing retail stem cell products.</w:t>
      </w:r>
    </w:p>
    <w:p>
      <w:pPr>
        <w:pStyle w:val="ListParagraph"/>
        <w:numPr>
          <w:ilvl w:val="0"/>
          <w:numId w:val="2"/>
        </w:numPr>
        <w:spacing w:after="50" w:before="50"/>
      </w:pPr>
      <w:r>
        <w:rPr>
          <w:rFonts w:ascii="Arial" w:cs="Arial" w:eastAsia="Arial" w:hAnsi="Arial"/>
          <w:b/>
          <w:bCs/>
          <w:color w:val="111111"/>
          <w:sz w:val="23"/>
          <w:szCs w:val="23"/>
        </w:rPr>
        <w:t xml:space="preserve">Precision Biologics network: </w:t>
      </w:r>
      <w:r>
        <w:rPr>
          <w:rFonts w:ascii="Arial" w:cs="Arial" w:eastAsia="Arial" w:hAnsi="Arial"/>
          <w:color w:val="444444"/>
          <w:sz w:val="23"/>
          <w:szCs w:val="23"/>
        </w:rPr>
        <w:t xml:space="preserve">Access to the same supply chain powering 100+ clinic relationships nationwide.</w:t>
      </w:r>
    </w:p>
    <w:p>
      <w:pPr>
        <w:pStyle w:val="ListParagraph"/>
        <w:numPr>
          <w:ilvl w:val="0"/>
          <w:numId w:val="2"/>
        </w:numPr>
        <w:spacing w:after="50" w:before="50"/>
      </w:pPr>
      <w:r>
        <w:rPr>
          <w:rFonts w:ascii="Arial" w:cs="Arial" w:eastAsia="Arial" w:hAnsi="Arial"/>
          <w:b/>
          <w:bCs/>
          <w:color w:val="111111"/>
          <w:sz w:val="23"/>
          <w:szCs w:val="23"/>
        </w:rPr>
        <w:t xml:space="preserve">Product range: </w:t>
      </w:r>
      <w:r>
        <w:rPr>
          <w:rFonts w:ascii="Arial" w:cs="Arial" w:eastAsia="Arial" w:hAnsi="Arial"/>
          <w:color w:val="444444"/>
          <w:sz w:val="23"/>
          <w:szCs w:val="23"/>
        </w:rPr>
        <w:t xml:space="preserve">Full access to the therapy product portfolio offered under the GSC clinical framework.</w:t>
      </w:r>
    </w:p>
    <w:p>
      <w:pPr>
        <w:pStyle w:val="ListParagraph"/>
        <w:numPr>
          <w:ilvl w:val="0"/>
          <w:numId w:val="2"/>
        </w:numPr>
        <w:spacing w:after="50" w:before="50"/>
      </w:pPr>
      <w:r>
        <w:rPr>
          <w:rFonts w:ascii="Arial" w:cs="Arial" w:eastAsia="Arial" w:hAnsi="Arial"/>
          <w:b/>
          <w:bCs/>
          <w:color w:val="111111"/>
          <w:sz w:val="23"/>
          <w:szCs w:val="23"/>
        </w:rPr>
        <w:t xml:space="preserve">Ongoing supply relationship: </w:t>
      </w:r>
      <w:r>
        <w:rPr>
          <w:rFonts w:ascii="Arial" w:cs="Arial" w:eastAsia="Arial" w:hAnsi="Arial"/>
          <w:color w:val="444444"/>
          <w:sz w:val="23"/>
          <w:szCs w:val="23"/>
        </w:rPr>
        <w:t xml:space="preserve">Not a one-time order — a sustained wholesale sourcing arrangement for the territory.</w:t>
      </w:r>
    </w:p>
    <w:p>
      <w:pPr>
        <w:pStyle w:val="ListParagraph"/>
        <w:numPr>
          <w:ilvl w:val="0"/>
          <w:numId w:val="2"/>
        </w:numPr>
        <w:spacing w:after="50" w:before="50"/>
      </w:pPr>
      <w:r>
        <w:rPr>
          <w:rFonts w:ascii="Arial" w:cs="Arial" w:eastAsia="Arial" w:hAnsi="Arial"/>
          <w:b/>
          <w:bCs/>
          <w:color w:val="111111"/>
          <w:sz w:val="23"/>
          <w:szCs w:val="23"/>
        </w:rPr>
        <w:t xml:space="preserve">Margin protection: </w:t>
      </w:r>
      <w:r>
        <w:rPr>
          <w:rFonts w:ascii="Arial" w:cs="Arial" w:eastAsia="Arial" w:hAnsi="Arial"/>
          <w:color w:val="444444"/>
          <w:sz w:val="23"/>
          <w:szCs w:val="23"/>
        </w:rPr>
        <w:t xml:space="preserve">Lower cost basis supports the ~40% net margin target that makes the territory economics work.</w:t>
      </w:r>
    </w:p>
    <w:p>
      <w:pPr>
        <w:spacing w:after="40" w:before="160"/>
      </w:pPr>
      <w:r>
        <w:rPr>
          <w:rFonts w:ascii="Arial" w:cs="Arial" w:eastAsia="Arial" w:hAnsi="Arial"/>
          <w:b/>
          <w:bCs/>
          <w:color w:val="C8923A"/>
          <w:sz w:val="36"/>
          <w:szCs w:val="36"/>
        </w:rPr>
        <w:t xml:space="preserve">~40% </w:t>
      </w:r>
    </w:p>
    <w:p>
      <w:pPr>
        <w:spacing w:after="160" w:before="0"/>
      </w:pPr>
      <w:r>
        <w:rPr>
          <w:rFonts w:ascii="Arial" w:cs="Arial" w:eastAsia="Arial" w:hAnsi="Arial"/>
          <w:color w:val="777777"/>
          <w:sz w:val="20"/>
          <w:szCs w:val="20"/>
        </w:rPr>
        <w:t xml:space="preserve">Target net margin for an active territory. Wholesale supply pricing is one of the primary structural drivers.</w:t>
      </w:r>
    </w:p>
    <w:p>
      <w:pPr>
        <w:pBdr>
          <w:bottom w:val="single" w:color="DDDDDD" w:sz="2" w:space="1"/>
        </w:pBdr>
        <w:spacing w:after="200" w:before="200"/>
      </w:pPr>
    </w:p>
    <w:p>
      <w:pPr>
        <w:spacing w:after="60" w:before="240"/>
      </w:pPr>
      <w:r>
        <w:rPr>
          <w:rFonts w:ascii="Arial" w:cs="Arial" w:eastAsia="Arial" w:hAnsi="Arial"/>
          <w:b/>
          <w:bCs/>
          <w:color w:val="C8923A"/>
          <w:sz w:val="22"/>
          <w:szCs w:val="22"/>
        </w:rPr>
        <w:t xml:space="preserve">09  </w:t>
      </w:r>
      <w:r>
        <w:rPr>
          <w:rFonts w:ascii="Arial" w:cs="Arial" w:eastAsia="Arial" w:hAnsi="Arial"/>
          <w:b/>
          <w:bCs/>
          <w:caps/>
          <w:color w:val="C8923A"/>
          <w:sz w:val="22"/>
          <w:szCs w:val="22"/>
        </w:rPr>
        <w:t xml:space="preserve">LAUNCH SUPPORT — TERRITORY ACTIVATION &amp; FIRST EVENTS</w:t>
      </w:r>
    </w:p>
    <w:p>
      <w:pPr>
        <w:spacing w:after="120" w:before="0"/>
      </w:pPr>
      <w:r>
        <w:rPr>
          <w:rFonts w:ascii="Arial" w:cs="Arial" w:eastAsia="Arial" w:hAnsi="Arial"/>
          <w:b/>
          <w:bCs/>
          <w:color w:val="111111"/>
          <w:sz w:val="32"/>
          <w:szCs w:val="32"/>
        </w:rPr>
        <w:t xml:space="preserve">You're Not Handed a Manual and Left Alone.</w:t>
      </w:r>
    </w:p>
    <w:p>
      <w:pPr>
        <w:spacing w:after="120" w:before="0"/>
      </w:pPr>
      <w:r>
        <w:rPr>
          <w:rFonts w:ascii="Arial" w:cs="Arial" w:eastAsia="Arial" w:hAnsi="Arial"/>
          <w:color w:val="444444"/>
          <w:sz w:val="24"/>
          <w:szCs w:val="24"/>
        </w:rPr>
        <w:t xml:space="preserve">Most licensing programs deliver a package and disappear. Got Stem Cells? territory activation includes a structured launch support path through your first events — onboarding, platform setup, event execution guidance, and performance review. The goal is a fully activated territory with a packed first seminar, not a completed checklist.</w:t>
      </w:r>
    </w:p>
    <w:p>
      <w:pPr>
        <w:pStyle w:val="ListParagraph"/>
        <w:numPr>
          <w:ilvl w:val="0"/>
          <w:numId w:val="2"/>
        </w:numPr>
        <w:spacing w:after="50" w:before="50"/>
      </w:pPr>
      <w:r>
        <w:rPr>
          <w:rFonts w:ascii="Arial" w:cs="Arial" w:eastAsia="Arial" w:hAnsi="Arial"/>
          <w:b/>
          <w:bCs/>
          <w:color w:val="111111"/>
          <w:sz w:val="23"/>
          <w:szCs w:val="23"/>
        </w:rPr>
        <w:t xml:space="preserve">Territory onboarding: </w:t>
      </w:r>
      <w:r>
        <w:rPr>
          <w:rFonts w:ascii="Arial" w:cs="Arial" w:eastAsia="Arial" w:hAnsi="Arial"/>
          <w:color w:val="444444"/>
          <w:sz w:val="23"/>
          <w:szCs w:val="23"/>
        </w:rPr>
        <w:t xml:space="preserve">Full platform setup, brand activation, and system configuration before launch.</w:t>
      </w:r>
    </w:p>
    <w:p>
      <w:pPr>
        <w:pStyle w:val="ListParagraph"/>
        <w:numPr>
          <w:ilvl w:val="0"/>
          <w:numId w:val="2"/>
        </w:numPr>
        <w:spacing w:after="50" w:before="50"/>
      </w:pPr>
      <w:r>
        <w:rPr>
          <w:rFonts w:ascii="Arial" w:cs="Arial" w:eastAsia="Arial" w:hAnsi="Arial"/>
          <w:b/>
          <w:bCs/>
          <w:color w:val="111111"/>
          <w:sz w:val="23"/>
          <w:szCs w:val="23"/>
        </w:rPr>
        <w:t xml:space="preserve">First event support: </w:t>
      </w:r>
      <w:r>
        <w:rPr>
          <w:rFonts w:ascii="Arial" w:cs="Arial" w:eastAsia="Arial" w:hAnsi="Arial"/>
          <w:color w:val="444444"/>
          <w:sz w:val="23"/>
          <w:szCs w:val="23"/>
        </w:rPr>
        <w:t xml:space="preserve">Pre-event preparation, promotion guidance, and operational support through the first live seminar.</w:t>
      </w:r>
    </w:p>
    <w:p>
      <w:pPr>
        <w:pStyle w:val="ListParagraph"/>
        <w:numPr>
          <w:ilvl w:val="0"/>
          <w:numId w:val="2"/>
        </w:numPr>
        <w:spacing w:after="50" w:before="50"/>
      </w:pPr>
      <w:r>
        <w:rPr>
          <w:rFonts w:ascii="Arial" w:cs="Arial" w:eastAsia="Arial" w:hAnsi="Arial"/>
          <w:b/>
          <w:bCs/>
          <w:color w:val="111111"/>
          <w:sz w:val="23"/>
          <w:szCs w:val="23"/>
        </w:rPr>
        <w:t xml:space="preserve">Post-event review: </w:t>
      </w:r>
      <w:r>
        <w:rPr>
          <w:rFonts w:ascii="Arial" w:cs="Arial" w:eastAsia="Arial" w:hAnsi="Arial"/>
          <w:color w:val="444444"/>
          <w:sz w:val="23"/>
          <w:szCs w:val="23"/>
        </w:rPr>
        <w:t xml:space="preserve">Performance data analysis, conversion review, and optimization direction after each event.</w:t>
      </w:r>
    </w:p>
    <w:p>
      <w:pPr>
        <w:pStyle w:val="ListParagraph"/>
        <w:numPr>
          <w:ilvl w:val="0"/>
          <w:numId w:val="2"/>
        </w:numPr>
        <w:spacing w:after="50" w:before="50"/>
      </w:pPr>
      <w:r>
        <w:rPr>
          <w:rFonts w:ascii="Arial" w:cs="Arial" w:eastAsia="Arial" w:hAnsi="Arial"/>
          <w:b/>
          <w:bCs/>
          <w:color w:val="111111"/>
          <w:sz w:val="23"/>
          <w:szCs w:val="23"/>
        </w:rPr>
        <w:t xml:space="preserve">Sales and presentation coaching: </w:t>
      </w:r>
      <w:r>
        <w:rPr>
          <w:rFonts w:ascii="Arial" w:cs="Arial" w:eastAsia="Arial" w:hAnsi="Arial"/>
          <w:color w:val="444444"/>
          <w:sz w:val="23"/>
          <w:szCs w:val="23"/>
        </w:rPr>
        <w:t xml:space="preserve">Training on the seminar script, consultation framework, and high-ticket closing approach.</w:t>
      </w:r>
    </w:p>
    <w:p>
      <w:pPr>
        <w:pStyle w:val="ListParagraph"/>
        <w:numPr>
          <w:ilvl w:val="0"/>
          <w:numId w:val="2"/>
        </w:numPr>
        <w:spacing w:after="50" w:before="50"/>
      </w:pPr>
      <w:r>
        <w:rPr>
          <w:rFonts w:ascii="Arial" w:cs="Arial" w:eastAsia="Arial" w:hAnsi="Arial"/>
          <w:b/>
          <w:bCs/>
          <w:color w:val="111111"/>
          <w:sz w:val="23"/>
          <w:szCs w:val="23"/>
        </w:rPr>
        <w:t xml:space="preserve">Ongoing protocol updates: </w:t>
      </w:r>
      <w:r>
        <w:rPr>
          <w:rFonts w:ascii="Arial" w:cs="Arial" w:eastAsia="Arial" w:hAnsi="Arial"/>
          <w:color w:val="444444"/>
          <w:sz w:val="23"/>
          <w:szCs w:val="23"/>
        </w:rPr>
        <w:t xml:space="preserve">Clinical and operational protocol updates delivered through the Command Center as the platform evolves.</w:t>
      </w:r>
    </w:p>
    <w:p>
      <w:pPr>
        <w:pBdr>
          <w:bottom w:val="single" w:color="DDDDDD" w:sz="2" w:space="1"/>
        </w:pBdr>
        <w:spacing w:after="200" w:before="200"/>
      </w:pPr>
    </w:p>
    <w:p>
      <w:pPr>
        <w:spacing w:after="60" w:before="240"/>
      </w:pPr>
      <w:r>
        <w:rPr>
          <w:rFonts w:ascii="Arial" w:cs="Arial" w:eastAsia="Arial" w:hAnsi="Arial"/>
          <w:b/>
          <w:bCs/>
          <w:color w:val="C8923A"/>
          <w:sz w:val="22"/>
          <w:szCs w:val="22"/>
        </w:rPr>
        <w:t xml:space="preserve">10  </w:t>
      </w:r>
      <w:r>
        <w:rPr>
          <w:rFonts w:ascii="Arial" w:cs="Arial" w:eastAsia="Arial" w:hAnsi="Arial"/>
          <w:b/>
          <w:bCs/>
          <w:caps/>
          <w:color w:val="C8923A"/>
          <w:sz w:val="22"/>
          <w:szCs w:val="22"/>
        </w:rPr>
        <w:t xml:space="preserve">ONGOING OPERATOR SUPPORT &amp; PLATFORM EVOLUTION</w:t>
      </w:r>
    </w:p>
    <w:p>
      <w:pPr>
        <w:spacing w:after="120" w:before="0"/>
      </w:pPr>
      <w:r>
        <w:rPr>
          <w:rFonts w:ascii="Arial" w:cs="Arial" w:eastAsia="Arial" w:hAnsi="Arial"/>
          <w:b/>
          <w:bCs/>
          <w:color w:val="111111"/>
          <w:sz w:val="32"/>
          <w:szCs w:val="32"/>
        </w:rPr>
        <w:t xml:space="preserve">A Platform That Improves After You Launch. Not Before.</w:t>
      </w:r>
    </w:p>
    <w:p>
      <w:pPr>
        <w:spacing w:after="120" w:before="0"/>
      </w:pPr>
      <w:r>
        <w:rPr>
          <w:rFonts w:ascii="Arial" w:cs="Arial" w:eastAsia="Arial" w:hAnsi="Arial"/>
          <w:color w:val="444444"/>
          <w:sz w:val="24"/>
          <w:szCs w:val="24"/>
        </w:rPr>
        <w:t xml:space="preserve">The license isn't a snapshot — it's an ongoing relationship. As the platform evolves, operators receive updated scripts, new clinical protocols, improved Ava AI workflows, refined CRM automations, and access to network-wide performance data. The operators who've been running the model the longest have the advantage of compounding improvements — and new operators join a system that's already benefited from years of field testing.</w:t>
      </w:r>
    </w:p>
    <w:p>
      <w:pPr>
        <w:pStyle w:val="ListParagraph"/>
        <w:numPr>
          <w:ilvl w:val="0"/>
          <w:numId w:val="2"/>
        </w:numPr>
        <w:spacing w:after="50" w:before="50"/>
      </w:pPr>
      <w:r>
        <w:rPr>
          <w:rFonts w:ascii="Arial" w:cs="Arial" w:eastAsia="Arial" w:hAnsi="Arial"/>
          <w:b/>
          <w:bCs/>
          <w:color w:val="111111"/>
          <w:sz w:val="23"/>
          <w:szCs w:val="23"/>
        </w:rPr>
        <w:t xml:space="preserve">Platform updates: </w:t>
      </w:r>
      <w:r>
        <w:rPr>
          <w:rFonts w:ascii="Arial" w:cs="Arial" w:eastAsia="Arial" w:hAnsi="Arial"/>
          <w:color w:val="444444"/>
          <w:sz w:val="23"/>
          <w:szCs w:val="23"/>
        </w:rPr>
        <w:t xml:space="preserve">Seminar scripts, CRM flows, Ava AI workflows, and clinical protocols updated as new data comes in.</w:t>
      </w:r>
    </w:p>
    <w:p>
      <w:pPr>
        <w:pStyle w:val="ListParagraph"/>
        <w:numPr>
          <w:ilvl w:val="0"/>
          <w:numId w:val="2"/>
        </w:numPr>
        <w:spacing w:after="50" w:before="50"/>
      </w:pPr>
      <w:r>
        <w:rPr>
          <w:rFonts w:ascii="Arial" w:cs="Arial" w:eastAsia="Arial" w:hAnsi="Arial"/>
          <w:b/>
          <w:bCs/>
          <w:color w:val="111111"/>
          <w:sz w:val="23"/>
          <w:szCs w:val="23"/>
        </w:rPr>
        <w:t xml:space="preserve">Operator community access: </w:t>
      </w:r>
      <w:r>
        <w:rPr>
          <w:rFonts w:ascii="Arial" w:cs="Arial" w:eastAsia="Arial" w:hAnsi="Arial"/>
          <w:color w:val="444444"/>
          <w:sz w:val="23"/>
          <w:szCs w:val="23"/>
        </w:rPr>
        <w:t xml:space="preserve">Connection to the broader network of Got Stem Cells? territory operators.</w:t>
      </w:r>
    </w:p>
    <w:p>
      <w:pPr>
        <w:pStyle w:val="ListParagraph"/>
        <w:numPr>
          <w:ilvl w:val="0"/>
          <w:numId w:val="2"/>
        </w:numPr>
        <w:spacing w:after="50" w:before="50"/>
      </w:pPr>
      <w:r>
        <w:rPr>
          <w:rFonts w:ascii="Arial" w:cs="Arial" w:eastAsia="Arial" w:hAnsi="Arial"/>
          <w:b/>
          <w:bCs/>
          <w:color w:val="111111"/>
          <w:sz w:val="23"/>
          <w:szCs w:val="23"/>
        </w:rPr>
        <w:t xml:space="preserve">Performance benchmarking: </w:t>
      </w:r>
      <w:r>
        <w:rPr>
          <w:rFonts w:ascii="Arial" w:cs="Arial" w:eastAsia="Arial" w:hAnsi="Arial"/>
          <w:color w:val="444444"/>
          <w:sz w:val="23"/>
          <w:szCs w:val="23"/>
        </w:rPr>
        <w:t xml:space="preserve">How your territory compares to network averages — what's working across the ecosystem.</w:t>
      </w:r>
    </w:p>
    <w:p>
      <w:pPr>
        <w:pStyle w:val="ListParagraph"/>
        <w:numPr>
          <w:ilvl w:val="0"/>
          <w:numId w:val="2"/>
        </w:numPr>
        <w:spacing w:after="50" w:before="50"/>
      </w:pPr>
      <w:r>
        <w:rPr>
          <w:rFonts w:ascii="Arial" w:cs="Arial" w:eastAsia="Arial" w:hAnsi="Arial"/>
          <w:b/>
          <w:bCs/>
          <w:color w:val="111111"/>
          <w:sz w:val="23"/>
          <w:szCs w:val="23"/>
        </w:rPr>
        <w:t xml:space="preserve">Protocol evolution: </w:t>
      </w:r>
      <w:r>
        <w:rPr>
          <w:rFonts w:ascii="Arial" w:cs="Arial" w:eastAsia="Arial" w:hAnsi="Arial"/>
          <w:color w:val="444444"/>
          <w:sz w:val="23"/>
          <w:szCs w:val="23"/>
        </w:rPr>
        <w:t xml:space="preserve">Dr. Arora's clinical framework is updated as regenerative medicine best practices develop.</w:t>
      </w:r>
    </w:p>
    <w:p>
      <w:pPr>
        <w:pStyle w:val="ListParagraph"/>
        <w:numPr>
          <w:ilvl w:val="0"/>
          <w:numId w:val="2"/>
        </w:numPr>
        <w:spacing w:after="50" w:before="50"/>
      </w:pPr>
      <w:r>
        <w:rPr>
          <w:rFonts w:ascii="Arial" w:cs="Arial" w:eastAsia="Arial" w:hAnsi="Arial"/>
          <w:b/>
          <w:bCs/>
          <w:color w:val="111111"/>
          <w:sz w:val="23"/>
          <w:szCs w:val="23"/>
        </w:rPr>
        <w:t xml:space="preserve">Marketing asset refresh: </w:t>
      </w:r>
      <w:r>
        <w:rPr>
          <w:rFonts w:ascii="Arial" w:cs="Arial" w:eastAsia="Arial" w:hAnsi="Arial"/>
          <w:color w:val="444444"/>
          <w:sz w:val="23"/>
          <w:szCs w:val="23"/>
        </w:rPr>
        <w:t xml:space="preserve">Creative, copy, and campaign assets updated to reflect current patient acquisition trends.</w:t>
      </w:r>
    </w:p>
    <w:p>
      <w:pPr>
        <w:pBdr>
          <w:bottom w:val="single" w:color="C8923A" w:sz="6" w:space="1"/>
        </w:pBdr>
        <w:spacing w:after="400" w:before="400"/>
      </w:pPr>
    </w:p>
    <w:p>
      <w:pPr>
        <w:spacing w:after="120" w:before="560"/>
      </w:pPr>
      <w:r>
        <w:rPr>
          <w:rFonts w:ascii="Arial" w:cs="Arial" w:eastAsia="Arial" w:hAnsi="Arial"/>
          <w:b/>
          <w:bCs/>
          <w:color w:val="C8923A"/>
          <w:sz w:val="18"/>
          <w:szCs w:val="18"/>
        </w:rPr>
        <w:t xml:space="preserve">VALUE STACK — WHAT IT WOULD COST TO BUILD THIS INDEPENDENTLY</w:t>
      </w:r>
    </w:p>
    <w:p>
      <w:pPr>
        <w:pStyle w:val="Heading2"/>
        <w:spacing w:after="200" w:before="80"/>
      </w:pPr>
      <w:r>
        <w:rPr>
          <w:rFonts w:ascii="Arial" w:cs="Arial" w:eastAsia="Arial" w:hAnsi="Arial"/>
          <w:b/>
          <w:bCs/>
          <w:color w:val="111111"/>
          <w:sz w:val="40"/>
          <w:szCs w:val="40"/>
        </w:rPr>
        <w:t xml:space="preserve">ANCHOR TABLE COPY</w:t>
      </w:r>
    </w:p>
    <w:p>
      <w:pPr>
        <w:spacing w:after="140" w:before="60"/>
      </w:pPr>
      <w:r>
        <w:rPr>
          <w:rFonts w:ascii="Arial" w:cs="Arial" w:eastAsia="Arial" w:hAnsi="Arial"/>
          <w:color w:val="444444"/>
          <w:sz w:val="24"/>
          <w:szCs w:val="24"/>
        </w:rPr>
        <w:t xml:space="preserve">Position this table directly below the 10 system cards. It's the knockout punch — the math that makes $100K feel like a deal.</w:t>
      </w:r>
    </w:p>
    <w:p>
      <w:pPr>
        <w:spacing w:after="80" w:before="200"/>
      </w:pPr>
      <w:r>
        <w:rPr>
          <w:rFonts w:ascii="Arial" w:cs="Arial" w:eastAsia="Arial" w:hAnsi="Arial"/>
          <w:b/>
          <w:bCs/>
          <w:caps/>
          <w:color w:val="C8923A"/>
          <w:sz w:val="19"/>
          <w:szCs w:val="19"/>
        </w:rPr>
        <w:t xml:space="preserve">HEADLINE ABOVE TABLE</w:t>
      </w:r>
    </w:p>
    <w:p>
      <w:pPr>
        <w:pStyle w:val="Heading3"/>
        <w:spacing w:after="100" w:before="320"/>
      </w:pPr>
      <w:r>
        <w:rPr>
          <w:rFonts w:ascii="Arial" w:cs="Arial" w:eastAsia="Arial" w:hAnsi="Arial"/>
          <w:b/>
          <w:bCs/>
          <w:color w:val="111111"/>
          <w:sz w:val="30"/>
          <w:szCs w:val="30"/>
        </w:rPr>
        <w:t xml:space="preserve">If You Built This Independently, Here's What It Would Cost You.</w:t>
      </w:r>
    </w:p>
    <w:p>
      <w:pPr>
        <w:spacing w:after="140" w:before="60"/>
      </w:pPr>
      <w:r>
        <w:rPr>
          <w:rFonts w:ascii="Arial" w:cs="Arial" w:eastAsia="Arial" w:hAnsi="Arial"/>
          <w:color w:val="444444"/>
          <w:sz w:val="24"/>
          <w:szCs w:val="24"/>
        </w:rPr>
        <w:t xml:space="preserve">"Every system above can be sourced, built, or hired independently. Here's what that looks like in year one — before you've run a single event."</w:t>
      </w:r>
    </w:p>
    <w:p>
      <w:pPr>
        <w:spacing w:after="120" w:before="200"/>
      </w:pPr>
      <w:r>
        <w:rPr>
          <w:rFonts w:ascii="Arial" w:cs="Arial" w:eastAsia="Arial" w:hAnsi="Arial"/>
          <w:b/>
          <w:bCs/>
          <w:color w:val="AAAAAA"/>
          <w:sz w:val="22"/>
          <w:szCs w:val="22"/>
        </w:rPr>
        <w:t xml:space="preserve">THE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none" w:color="FFFFFF" w:sz="0"/>
              <w:left w:val="none" w:color="FFFFFF" w:sz="0"/>
              <w:bottom w:val="none" w:color="FFFFFF" w:sz="0"/>
              <w:right w:val="none" w:color="FFFFFF" w:sz="0"/>
            </w:tcBorders>
            <w:shd w:fill="1A1A1A" w:val="clear"/>
            <w:tcMar>
              <w:top w:type="dxa" w:w="100"/>
              <w:left w:type="dxa" w:w="160"/>
              <w:bottom w:type="dxa" w:w="100"/>
              <w:right w:type="dxa" w:w="120"/>
            </w:tcMar>
          </w:tcPr>
          <w:p>
            <w:r>
              <w:rPr>
                <w:rFonts w:ascii="Arial" w:cs="Arial" w:eastAsia="Arial" w:hAnsi="Arial"/>
                <w:b/>
                <w:bCs/>
                <w:color w:val="FFFFFF"/>
                <w:sz w:val="20"/>
                <w:szCs w:val="20"/>
              </w:rPr>
              <w:t xml:space="preserve">System / Component</w:t>
            </w:r>
          </w:p>
        </w:tc>
        <w:tc>
          <w:tcPr>
            <w:tcW w:type="dxa" w:w="2580"/>
            <w:tcBorders>
              <w:top w:val="none" w:color="FFFFFF" w:sz="0"/>
              <w:left w:val="none" w:color="FFFFFF" w:sz="0"/>
              <w:bottom w:val="none" w:color="FFFFFF" w:sz="0"/>
              <w:right w:val="none" w:color="FFFFFF" w:sz="0"/>
            </w:tcBorders>
            <w:shd w:fill="1A1A1A" w:val="clear"/>
            <w:tcMar>
              <w:top w:type="dxa" w:w="100"/>
              <w:left w:type="dxa" w:w="160"/>
              <w:bottom w:type="dxa" w:w="100"/>
              <w:right w:type="dxa" w:w="120"/>
            </w:tcMar>
          </w:tcPr>
          <w:p>
            <w:r>
              <w:rPr>
                <w:rFonts w:ascii="Arial" w:cs="Arial" w:eastAsia="Arial" w:hAnsi="Arial"/>
                <w:b/>
                <w:bCs/>
                <w:color w:val="FFFFFF"/>
                <w:sz w:val="20"/>
                <w:szCs w:val="20"/>
              </w:rPr>
              <w:t xml:space="preserve">If Built Independently</w:t>
            </w:r>
          </w:p>
        </w:tc>
        <w:tc>
          <w:tcPr>
            <w:tcW w:type="dxa" w:w="2580"/>
            <w:tcBorders>
              <w:top w:val="none" w:color="FFFFFF" w:sz="0"/>
              <w:left w:val="none" w:color="FFFFFF" w:sz="0"/>
              <w:bottom w:val="none" w:color="FFFFFF" w:sz="0"/>
              <w:right w:val="none" w:color="FFFFFF" w:sz="0"/>
            </w:tcBorders>
            <w:shd w:fill="1A1A1A" w:val="clear"/>
            <w:tcMar>
              <w:top w:type="dxa" w:w="100"/>
              <w:left w:type="dxa" w:w="160"/>
              <w:bottom w:type="dxa" w:w="100"/>
              <w:right w:type="dxa" w:w="120"/>
            </w:tcMar>
          </w:tcPr>
          <w:p>
            <w:r>
              <w:rPr>
                <w:rFonts w:ascii="Arial" w:cs="Arial" w:eastAsia="Arial" w:hAnsi="Arial"/>
                <w:b/>
                <w:bCs/>
                <w:color w:val="FFFFFF"/>
                <w:sz w:val="20"/>
                <w:szCs w:val="20"/>
              </w:rPr>
              <w:t xml:space="preserve">With GSC License</w:t>
            </w:r>
          </w:p>
        </w:tc>
      </w:tr>
      <w:tr>
        <w:tc>
          <w:tcPr>
            <w:tcW w:type="dxa" w:w="4200"/>
            <w:tcBorders>
              <w:top w:val="single" w:color="EEEEEE" w:sz="1"/>
              <w:left w:val="none" w:color="FFFFFF" w:sz="0"/>
              <w:bottom w:val="single" w:color="EEEEEE" w:sz="1"/>
              <w:right w:val="none" w:color="FFFFFF" w:sz="0"/>
            </w:tcBorders>
            <w:tcMar>
              <w:top w:type="dxa" w:w="80"/>
              <w:left w:type="dxa" w:w="160"/>
              <w:bottom w:type="dxa" w:w="80"/>
              <w:right w:type="dxa" w:w="120"/>
            </w:tcMar>
          </w:tcPr>
          <w:p>
            <w:r>
              <w:rPr>
                <w:rFonts w:ascii="Arial" w:cs="Arial" w:eastAsia="Arial" w:hAnsi="Arial"/>
                <w:b/>
                <w:bCs/>
                <w:color w:val="111111"/>
                <w:sz w:val="22"/>
                <w:szCs w:val="22"/>
              </w:rPr>
              <w:t xml:space="preserve">Dinner Seminar Engine (scripts, IP, 7yrs of data)</w:t>
            </w:r>
          </w:p>
        </w:tc>
        <w:tc>
          <w:tcPr>
            <w:tcW w:type="dxa" w:w="2580"/>
            <w:tcBorders>
              <w:top w:val="single" w:color="EEEEEE" w:sz="1"/>
              <w:left w:val="none" w:color="FFFFFF" w:sz="0"/>
              <w:bottom w:val="single" w:color="EEEEEE" w:sz="1"/>
              <w:right w:val="none" w:color="FFFFFF" w:sz="0"/>
            </w:tcBorders>
            <w:shd w:fill="FFF5F5" w:val="clear"/>
            <w:tcMar>
              <w:top w:type="dxa" w:w="80"/>
              <w:left w:type="dxa" w:w="120"/>
              <w:bottom w:type="dxa" w:w="80"/>
              <w:right w:type="dxa" w:w="120"/>
            </w:tcMar>
          </w:tcPr>
          <w:p>
            <w:r>
              <w:rPr>
                <w:rFonts w:ascii="Arial" w:cs="Arial" w:eastAsia="Arial" w:hAnsi="Arial"/>
                <w:color w:val="CC3333"/>
                <w:sz w:val="22"/>
                <w:szCs w:val="22"/>
              </w:rPr>
              <w:t xml:space="preserve">$150,000–$300,000 to develop</w:t>
            </w:r>
          </w:p>
        </w:tc>
        <w:tc>
          <w:tcPr>
            <w:tcW w:type="dxa" w:w="2580"/>
            <w:tcBorders>
              <w:top w:val="single" w:color="EEEEEE" w:sz="1"/>
              <w:left w:val="none" w:color="FFFFFF" w:sz="0"/>
              <w:bottom w:val="single" w:color="EEEEEE" w:sz="1"/>
              <w:right w:val="none" w:color="FFFFFF" w:sz="0"/>
            </w:tcBorders>
            <w:shd w:fill="F0FFF5" w:val="clear"/>
            <w:tcMar>
              <w:top w:type="dxa" w:w="80"/>
              <w:left w:type="dxa" w:w="120"/>
              <w:bottom w:type="dxa" w:w="80"/>
              <w:right w:type="dxa" w:w="160"/>
            </w:tcMar>
          </w:tcPr>
          <w:p>
            <w:r>
              <w:rPr>
                <w:rFonts w:ascii="Arial" w:cs="Arial" w:eastAsia="Arial" w:hAnsi="Arial"/>
                <w:b/>
                <w:bCs/>
                <w:color w:val="1A7A3A"/>
                <w:sz w:val="22"/>
                <w:szCs w:val="22"/>
              </w:rPr>
              <w:t xml:space="preserve">Included</w:t>
            </w:r>
          </w:p>
        </w:tc>
      </w:tr>
      <w:tr>
        <w:tc>
          <w:tcPr>
            <w:tcW w:type="dxa" w:w="4200"/>
            <w:tcBorders>
              <w:top w:val="single" w:color="EEEEEE" w:sz="1"/>
              <w:left w:val="none" w:color="FFFFFF" w:sz="0"/>
              <w:bottom w:val="single" w:color="EEEEEE" w:sz="1"/>
              <w:right w:val="none" w:color="FFFFFF" w:sz="0"/>
            </w:tcBorders>
            <w:tcMar>
              <w:top w:type="dxa" w:w="80"/>
              <w:left w:type="dxa" w:w="160"/>
              <w:bottom w:type="dxa" w:w="80"/>
              <w:right w:type="dxa" w:w="120"/>
            </w:tcMar>
          </w:tcPr>
          <w:p>
            <w:r>
              <w:rPr>
                <w:rFonts w:ascii="Arial" w:cs="Arial" w:eastAsia="Arial" w:hAnsi="Arial"/>
                <w:b/>
                <w:bCs/>
                <w:color w:val="111111"/>
                <w:sz w:val="22"/>
                <w:szCs w:val="22"/>
              </w:rPr>
              <w:t xml:space="preserve">Ava AI — HIPAA-aware, 16-agent stack</w:t>
            </w:r>
          </w:p>
        </w:tc>
        <w:tc>
          <w:tcPr>
            <w:tcW w:type="dxa" w:w="2580"/>
            <w:tcBorders>
              <w:top w:val="single" w:color="EEEEEE" w:sz="1"/>
              <w:left w:val="none" w:color="FFFFFF" w:sz="0"/>
              <w:bottom w:val="single" w:color="EEEEEE" w:sz="1"/>
              <w:right w:val="none" w:color="FFFFFF" w:sz="0"/>
            </w:tcBorders>
            <w:shd w:fill="FFF5F5" w:val="clear"/>
            <w:tcMar>
              <w:top w:type="dxa" w:w="80"/>
              <w:left w:type="dxa" w:w="120"/>
              <w:bottom w:type="dxa" w:w="80"/>
              <w:right w:type="dxa" w:w="120"/>
            </w:tcMar>
          </w:tcPr>
          <w:p>
            <w:r>
              <w:rPr>
                <w:rFonts w:ascii="Arial" w:cs="Arial" w:eastAsia="Arial" w:hAnsi="Arial"/>
                <w:color w:val="CC3333"/>
                <w:sz w:val="22"/>
                <w:szCs w:val="22"/>
              </w:rPr>
              <w:t xml:space="preserve">$70,000–$250,000 to build</w:t>
            </w:r>
          </w:p>
        </w:tc>
        <w:tc>
          <w:tcPr>
            <w:tcW w:type="dxa" w:w="2580"/>
            <w:tcBorders>
              <w:top w:val="single" w:color="EEEEEE" w:sz="1"/>
              <w:left w:val="none" w:color="FFFFFF" w:sz="0"/>
              <w:bottom w:val="single" w:color="EEEEEE" w:sz="1"/>
              <w:right w:val="none" w:color="FFFFFF" w:sz="0"/>
            </w:tcBorders>
            <w:shd w:fill="F0FFF5" w:val="clear"/>
            <w:tcMar>
              <w:top w:type="dxa" w:w="80"/>
              <w:left w:type="dxa" w:w="120"/>
              <w:bottom w:type="dxa" w:w="80"/>
              <w:right w:type="dxa" w:w="160"/>
            </w:tcMar>
          </w:tcPr>
          <w:p>
            <w:r>
              <w:rPr>
                <w:rFonts w:ascii="Arial" w:cs="Arial" w:eastAsia="Arial" w:hAnsi="Arial"/>
                <w:b/>
                <w:bCs/>
                <w:color w:val="1A7A3A"/>
                <w:sz w:val="22"/>
                <w:szCs w:val="22"/>
              </w:rPr>
              <w:t xml:space="preserve">Included</w:t>
            </w:r>
          </w:p>
        </w:tc>
      </w:tr>
      <w:tr>
        <w:tc>
          <w:tcPr>
            <w:tcW w:type="dxa" w:w="4200"/>
            <w:tcBorders>
              <w:top w:val="single" w:color="EEEEEE" w:sz="1"/>
              <w:left w:val="none" w:color="FFFFFF" w:sz="0"/>
              <w:bottom w:val="single" w:color="EEEEEE" w:sz="1"/>
              <w:right w:val="none" w:color="FFFFFF" w:sz="0"/>
            </w:tcBorders>
            <w:tcMar>
              <w:top w:type="dxa" w:w="80"/>
              <w:left w:type="dxa" w:w="160"/>
              <w:bottom w:type="dxa" w:w="80"/>
              <w:right w:type="dxa" w:w="120"/>
            </w:tcMar>
          </w:tcPr>
          <w:p>
            <w:r>
              <w:rPr>
                <w:rFonts w:ascii="Arial" w:cs="Arial" w:eastAsia="Arial" w:hAnsi="Arial"/>
                <w:b/>
                <w:bCs/>
                <w:color w:val="111111"/>
                <w:sz w:val="22"/>
                <w:szCs w:val="22"/>
              </w:rPr>
              <w:t xml:space="preserve">Dr. Sean Arora — MD Oversight, all 50 states</w:t>
            </w:r>
          </w:p>
        </w:tc>
        <w:tc>
          <w:tcPr>
            <w:tcW w:type="dxa" w:w="2580"/>
            <w:tcBorders>
              <w:top w:val="single" w:color="EEEEEE" w:sz="1"/>
              <w:left w:val="none" w:color="FFFFFF" w:sz="0"/>
              <w:bottom w:val="single" w:color="EEEEEE" w:sz="1"/>
              <w:right w:val="none" w:color="FFFFFF" w:sz="0"/>
            </w:tcBorders>
            <w:shd w:fill="FFF5F5" w:val="clear"/>
            <w:tcMar>
              <w:top w:type="dxa" w:w="80"/>
              <w:left w:type="dxa" w:w="120"/>
              <w:bottom w:type="dxa" w:w="80"/>
              <w:right w:type="dxa" w:w="120"/>
            </w:tcMar>
          </w:tcPr>
          <w:p>
            <w:r>
              <w:rPr>
                <w:rFonts w:ascii="Arial" w:cs="Arial" w:eastAsia="Arial" w:hAnsi="Arial"/>
                <w:color w:val="CC3333"/>
                <w:sz w:val="22"/>
                <w:szCs w:val="22"/>
              </w:rPr>
              <w:t xml:space="preserve">$60,000–$180,000/year</w:t>
            </w:r>
          </w:p>
        </w:tc>
        <w:tc>
          <w:tcPr>
            <w:tcW w:type="dxa" w:w="2580"/>
            <w:tcBorders>
              <w:top w:val="single" w:color="EEEEEE" w:sz="1"/>
              <w:left w:val="none" w:color="FFFFFF" w:sz="0"/>
              <w:bottom w:val="single" w:color="EEEEEE" w:sz="1"/>
              <w:right w:val="none" w:color="FFFFFF" w:sz="0"/>
            </w:tcBorders>
            <w:shd w:fill="F0FFF5" w:val="clear"/>
            <w:tcMar>
              <w:top w:type="dxa" w:w="80"/>
              <w:left w:type="dxa" w:w="120"/>
              <w:bottom w:type="dxa" w:w="80"/>
              <w:right w:type="dxa" w:w="160"/>
            </w:tcMar>
          </w:tcPr>
          <w:p>
            <w:r>
              <w:rPr>
                <w:rFonts w:ascii="Arial" w:cs="Arial" w:eastAsia="Arial" w:hAnsi="Arial"/>
                <w:b/>
                <w:bCs/>
                <w:color w:val="1A7A3A"/>
                <w:sz w:val="22"/>
                <w:szCs w:val="22"/>
              </w:rPr>
              <w:t xml:space="preserve">Included — $0 extra</w:t>
            </w:r>
          </w:p>
        </w:tc>
      </w:tr>
      <w:tr>
        <w:tc>
          <w:tcPr>
            <w:tcW w:type="dxa" w:w="4200"/>
            <w:tcBorders>
              <w:top w:val="single" w:color="EEEEEE" w:sz="1"/>
              <w:left w:val="none" w:color="FFFFFF" w:sz="0"/>
              <w:bottom w:val="single" w:color="EEEEEE" w:sz="1"/>
              <w:right w:val="none" w:color="FFFFFF" w:sz="0"/>
            </w:tcBorders>
            <w:tcMar>
              <w:top w:type="dxa" w:w="80"/>
              <w:left w:type="dxa" w:w="160"/>
              <w:bottom w:type="dxa" w:w="80"/>
              <w:right w:type="dxa" w:w="120"/>
            </w:tcMar>
          </w:tcPr>
          <w:p>
            <w:r>
              <w:rPr>
                <w:rFonts w:ascii="Arial" w:cs="Arial" w:eastAsia="Arial" w:hAnsi="Arial"/>
                <w:b/>
                <w:bCs/>
                <w:color w:val="111111"/>
                <w:sz w:val="22"/>
                <w:szCs w:val="22"/>
              </w:rPr>
              <w:t xml:space="preserve">Multi-Channel Marketing System</w:t>
            </w:r>
          </w:p>
        </w:tc>
        <w:tc>
          <w:tcPr>
            <w:tcW w:type="dxa" w:w="2580"/>
            <w:tcBorders>
              <w:top w:val="single" w:color="EEEEEE" w:sz="1"/>
              <w:left w:val="none" w:color="FFFFFF" w:sz="0"/>
              <w:bottom w:val="single" w:color="EEEEEE" w:sz="1"/>
              <w:right w:val="none" w:color="FFFFFF" w:sz="0"/>
            </w:tcBorders>
            <w:shd w:fill="FFF5F5" w:val="clear"/>
            <w:tcMar>
              <w:top w:type="dxa" w:w="80"/>
              <w:left w:type="dxa" w:w="120"/>
              <w:bottom w:type="dxa" w:w="80"/>
              <w:right w:type="dxa" w:w="120"/>
            </w:tcMar>
          </w:tcPr>
          <w:p>
            <w:r>
              <w:rPr>
                <w:rFonts w:ascii="Arial" w:cs="Arial" w:eastAsia="Arial" w:hAnsi="Arial"/>
                <w:color w:val="CC3333"/>
                <w:sz w:val="22"/>
                <w:szCs w:val="22"/>
              </w:rPr>
              <w:t xml:space="preserve">$40,000–$80,000/year</w:t>
            </w:r>
          </w:p>
        </w:tc>
        <w:tc>
          <w:tcPr>
            <w:tcW w:type="dxa" w:w="2580"/>
            <w:tcBorders>
              <w:top w:val="single" w:color="EEEEEE" w:sz="1"/>
              <w:left w:val="none" w:color="FFFFFF" w:sz="0"/>
              <w:bottom w:val="single" w:color="EEEEEE" w:sz="1"/>
              <w:right w:val="none" w:color="FFFFFF" w:sz="0"/>
            </w:tcBorders>
            <w:shd w:fill="F0FFF5" w:val="clear"/>
            <w:tcMar>
              <w:top w:type="dxa" w:w="80"/>
              <w:left w:type="dxa" w:w="120"/>
              <w:bottom w:type="dxa" w:w="80"/>
              <w:right w:type="dxa" w:w="160"/>
            </w:tcMar>
          </w:tcPr>
          <w:p>
            <w:r>
              <w:rPr>
                <w:rFonts w:ascii="Arial" w:cs="Arial" w:eastAsia="Arial" w:hAnsi="Arial"/>
                <w:b/>
                <w:bCs/>
                <w:color w:val="1A7A3A"/>
                <w:sz w:val="22"/>
                <w:szCs w:val="22"/>
              </w:rPr>
              <w:t xml:space="preserve">Included</w:t>
            </w:r>
          </w:p>
        </w:tc>
      </w:tr>
      <w:tr>
        <w:tc>
          <w:tcPr>
            <w:tcW w:type="dxa" w:w="4200"/>
            <w:tcBorders>
              <w:top w:val="single" w:color="EEEEEE" w:sz="1"/>
              <w:left w:val="none" w:color="FFFFFF" w:sz="0"/>
              <w:bottom w:val="single" w:color="EEEEEE" w:sz="1"/>
              <w:right w:val="none" w:color="FFFFFF" w:sz="0"/>
            </w:tcBorders>
            <w:tcMar>
              <w:top w:type="dxa" w:w="80"/>
              <w:left w:type="dxa" w:w="160"/>
              <w:bottom w:type="dxa" w:w="80"/>
              <w:right w:type="dxa" w:w="120"/>
            </w:tcMar>
          </w:tcPr>
          <w:p>
            <w:r>
              <w:rPr>
                <w:rFonts w:ascii="Arial" w:cs="Arial" w:eastAsia="Arial" w:hAnsi="Arial"/>
                <w:b/>
                <w:bCs/>
                <w:color w:val="111111"/>
                <w:sz w:val="22"/>
                <w:szCs w:val="22"/>
              </w:rPr>
              <w:t xml:space="preserve">Website, Funnels &amp; Digital Presence</w:t>
            </w:r>
          </w:p>
        </w:tc>
        <w:tc>
          <w:tcPr>
            <w:tcW w:type="dxa" w:w="2580"/>
            <w:tcBorders>
              <w:top w:val="single" w:color="EEEEEE" w:sz="1"/>
              <w:left w:val="none" w:color="FFFFFF" w:sz="0"/>
              <w:bottom w:val="single" w:color="EEEEEE" w:sz="1"/>
              <w:right w:val="none" w:color="FFFFFF" w:sz="0"/>
            </w:tcBorders>
            <w:shd w:fill="FFF5F5" w:val="clear"/>
            <w:tcMar>
              <w:top w:type="dxa" w:w="80"/>
              <w:left w:type="dxa" w:w="120"/>
              <w:bottom w:type="dxa" w:w="80"/>
              <w:right w:type="dxa" w:w="120"/>
            </w:tcMar>
          </w:tcPr>
          <w:p>
            <w:r>
              <w:rPr>
                <w:rFonts w:ascii="Arial" w:cs="Arial" w:eastAsia="Arial" w:hAnsi="Arial"/>
                <w:color w:val="CC3333"/>
                <w:sz w:val="22"/>
                <w:szCs w:val="22"/>
              </w:rPr>
              <w:t xml:space="preserve">$15,000–$40,000 to build</w:t>
            </w:r>
          </w:p>
        </w:tc>
        <w:tc>
          <w:tcPr>
            <w:tcW w:type="dxa" w:w="2580"/>
            <w:tcBorders>
              <w:top w:val="single" w:color="EEEEEE" w:sz="1"/>
              <w:left w:val="none" w:color="FFFFFF" w:sz="0"/>
              <w:bottom w:val="single" w:color="EEEEEE" w:sz="1"/>
              <w:right w:val="none" w:color="FFFFFF" w:sz="0"/>
            </w:tcBorders>
            <w:shd w:fill="F0FFF5" w:val="clear"/>
            <w:tcMar>
              <w:top w:type="dxa" w:w="80"/>
              <w:left w:type="dxa" w:w="120"/>
              <w:bottom w:type="dxa" w:w="80"/>
              <w:right w:type="dxa" w:w="160"/>
            </w:tcMar>
          </w:tcPr>
          <w:p>
            <w:r>
              <w:rPr>
                <w:rFonts w:ascii="Arial" w:cs="Arial" w:eastAsia="Arial" w:hAnsi="Arial"/>
                <w:b/>
                <w:bCs/>
                <w:color w:val="1A7A3A"/>
                <w:sz w:val="22"/>
                <w:szCs w:val="22"/>
              </w:rPr>
              <w:t xml:space="preserve">Included</w:t>
            </w:r>
          </w:p>
        </w:tc>
      </w:tr>
      <w:tr>
        <w:tc>
          <w:tcPr>
            <w:tcW w:type="dxa" w:w="4200"/>
            <w:tcBorders>
              <w:top w:val="single" w:color="EEEEEE" w:sz="1"/>
              <w:left w:val="none" w:color="FFFFFF" w:sz="0"/>
              <w:bottom w:val="single" w:color="EEEEEE" w:sz="1"/>
              <w:right w:val="none" w:color="FFFFFF" w:sz="0"/>
            </w:tcBorders>
            <w:tcMar>
              <w:top w:type="dxa" w:w="80"/>
              <w:left w:type="dxa" w:w="160"/>
              <w:bottom w:type="dxa" w:w="80"/>
              <w:right w:type="dxa" w:w="120"/>
            </w:tcMar>
          </w:tcPr>
          <w:p>
            <w:r>
              <w:rPr>
                <w:rFonts w:ascii="Arial" w:cs="Arial" w:eastAsia="Arial" w:hAnsi="Arial"/>
                <w:b/>
                <w:bCs/>
                <w:color w:val="111111"/>
                <w:sz w:val="22"/>
                <w:szCs w:val="22"/>
              </w:rPr>
              <w:t xml:space="preserve">CRM + Automation Infrastructure</w:t>
            </w:r>
          </w:p>
        </w:tc>
        <w:tc>
          <w:tcPr>
            <w:tcW w:type="dxa" w:w="2580"/>
            <w:tcBorders>
              <w:top w:val="single" w:color="EEEEEE" w:sz="1"/>
              <w:left w:val="none" w:color="FFFFFF" w:sz="0"/>
              <w:bottom w:val="single" w:color="EEEEEE" w:sz="1"/>
              <w:right w:val="none" w:color="FFFFFF" w:sz="0"/>
            </w:tcBorders>
            <w:shd w:fill="FFF5F5" w:val="clear"/>
            <w:tcMar>
              <w:top w:type="dxa" w:w="80"/>
              <w:left w:type="dxa" w:w="120"/>
              <w:bottom w:type="dxa" w:w="80"/>
              <w:right w:type="dxa" w:w="120"/>
            </w:tcMar>
          </w:tcPr>
          <w:p>
            <w:r>
              <w:rPr>
                <w:rFonts w:ascii="Arial" w:cs="Arial" w:eastAsia="Arial" w:hAnsi="Arial"/>
                <w:color w:val="CC3333"/>
                <w:sz w:val="22"/>
                <w:szCs w:val="22"/>
              </w:rPr>
              <w:t xml:space="preserve">$20,000–$60,000 to build</w:t>
            </w:r>
          </w:p>
        </w:tc>
        <w:tc>
          <w:tcPr>
            <w:tcW w:type="dxa" w:w="2580"/>
            <w:tcBorders>
              <w:top w:val="single" w:color="EEEEEE" w:sz="1"/>
              <w:left w:val="none" w:color="FFFFFF" w:sz="0"/>
              <w:bottom w:val="single" w:color="EEEEEE" w:sz="1"/>
              <w:right w:val="none" w:color="FFFFFF" w:sz="0"/>
            </w:tcBorders>
            <w:shd w:fill="F0FFF5" w:val="clear"/>
            <w:tcMar>
              <w:top w:type="dxa" w:w="80"/>
              <w:left w:type="dxa" w:w="120"/>
              <w:bottom w:type="dxa" w:w="80"/>
              <w:right w:type="dxa" w:w="160"/>
            </w:tcMar>
          </w:tcPr>
          <w:p>
            <w:r>
              <w:rPr>
                <w:rFonts w:ascii="Arial" w:cs="Arial" w:eastAsia="Arial" w:hAnsi="Arial"/>
                <w:b/>
                <w:bCs/>
                <w:color w:val="1A7A3A"/>
                <w:sz w:val="22"/>
                <w:szCs w:val="22"/>
              </w:rPr>
              <w:t xml:space="preserve">Included</w:t>
            </w:r>
          </w:p>
        </w:tc>
      </w:tr>
      <w:tr>
        <w:tc>
          <w:tcPr>
            <w:tcW w:type="dxa" w:w="4200"/>
            <w:tcBorders>
              <w:top w:val="single" w:color="EEEEEE" w:sz="1"/>
              <w:left w:val="none" w:color="FFFFFF" w:sz="0"/>
              <w:bottom w:val="single" w:color="EEEEEE" w:sz="1"/>
              <w:right w:val="none" w:color="FFFFFF" w:sz="0"/>
            </w:tcBorders>
            <w:tcMar>
              <w:top w:type="dxa" w:w="80"/>
              <w:left w:type="dxa" w:w="160"/>
              <w:bottom w:type="dxa" w:w="80"/>
              <w:right w:type="dxa" w:w="120"/>
            </w:tcMar>
          </w:tcPr>
          <w:p>
            <w:r>
              <w:rPr>
                <w:rFonts w:ascii="Arial" w:cs="Arial" w:eastAsia="Arial" w:hAnsi="Arial"/>
                <w:b/>
                <w:bCs/>
                <w:color w:val="111111"/>
                <w:sz w:val="22"/>
                <w:szCs w:val="22"/>
              </w:rPr>
              <w:t xml:space="preserve">Stem Cell Supply (preferred pricing)</w:t>
            </w:r>
          </w:p>
        </w:tc>
        <w:tc>
          <w:tcPr>
            <w:tcW w:type="dxa" w:w="2580"/>
            <w:tcBorders>
              <w:top w:val="single" w:color="EEEEEE" w:sz="1"/>
              <w:left w:val="none" w:color="FFFFFF" w:sz="0"/>
              <w:bottom w:val="single" w:color="EEEEEE" w:sz="1"/>
              <w:right w:val="none" w:color="FFFFFF" w:sz="0"/>
            </w:tcBorders>
            <w:shd w:fill="FFF5F5" w:val="clear"/>
            <w:tcMar>
              <w:top w:type="dxa" w:w="80"/>
              <w:left w:type="dxa" w:w="120"/>
              <w:bottom w:type="dxa" w:w="80"/>
              <w:right w:type="dxa" w:w="120"/>
            </w:tcMar>
          </w:tcPr>
          <w:p>
            <w:r>
              <w:rPr>
                <w:rFonts w:ascii="Arial" w:cs="Arial" w:eastAsia="Arial" w:hAnsi="Arial"/>
                <w:color w:val="CC3333"/>
                <w:sz w:val="22"/>
                <w:szCs w:val="22"/>
              </w:rPr>
              <w:t xml:space="preserve">Retail pricing — margin compressed</w:t>
            </w:r>
          </w:p>
        </w:tc>
        <w:tc>
          <w:tcPr>
            <w:tcW w:type="dxa" w:w="2580"/>
            <w:tcBorders>
              <w:top w:val="single" w:color="EEEEEE" w:sz="1"/>
              <w:left w:val="none" w:color="FFFFFF" w:sz="0"/>
              <w:bottom w:val="single" w:color="EEEEEE" w:sz="1"/>
              <w:right w:val="none" w:color="FFFFFF" w:sz="0"/>
            </w:tcBorders>
            <w:shd w:fill="F0FFF5" w:val="clear"/>
            <w:tcMar>
              <w:top w:type="dxa" w:w="80"/>
              <w:left w:type="dxa" w:w="120"/>
              <w:bottom w:type="dxa" w:w="80"/>
              <w:right w:type="dxa" w:w="160"/>
            </w:tcMar>
          </w:tcPr>
          <w:p>
            <w:r>
              <w:rPr>
                <w:rFonts w:ascii="Arial" w:cs="Arial" w:eastAsia="Arial" w:hAnsi="Arial"/>
                <w:b/>
                <w:bCs/>
                <w:color w:val="1A7A3A"/>
                <w:sz w:val="22"/>
                <w:szCs w:val="22"/>
              </w:rPr>
              <w:t xml:space="preserve">Wholesale — Precision Biologics</w:t>
            </w:r>
          </w:p>
        </w:tc>
      </w:tr>
      <w:tr>
        <w:tc>
          <w:tcPr>
            <w:tcW w:type="dxa" w:w="4200"/>
            <w:tcBorders>
              <w:top w:val="single" w:color="EEEEEE" w:sz="1"/>
              <w:left w:val="none" w:color="FFFFFF" w:sz="0"/>
              <w:bottom w:val="single" w:color="EEEEEE" w:sz="1"/>
              <w:right w:val="none" w:color="FFFFFF" w:sz="0"/>
            </w:tcBorders>
            <w:tcMar>
              <w:top w:type="dxa" w:w="80"/>
              <w:left w:type="dxa" w:w="160"/>
              <w:bottom w:type="dxa" w:w="80"/>
              <w:right w:type="dxa" w:w="120"/>
            </w:tcMar>
          </w:tcPr>
          <w:p>
            <w:r>
              <w:rPr>
                <w:rFonts w:ascii="Arial" w:cs="Arial" w:eastAsia="Arial" w:hAnsi="Arial"/>
                <w:b/>
                <w:bCs/>
                <w:color w:val="111111"/>
                <w:sz w:val="22"/>
                <w:szCs w:val="22"/>
              </w:rPr>
              <w:t xml:space="preserve">Authority Content &amp; Asset Library</w:t>
            </w:r>
          </w:p>
        </w:tc>
        <w:tc>
          <w:tcPr>
            <w:tcW w:type="dxa" w:w="2580"/>
            <w:tcBorders>
              <w:top w:val="single" w:color="EEEEEE" w:sz="1"/>
              <w:left w:val="none" w:color="FFFFFF" w:sz="0"/>
              <w:bottom w:val="single" w:color="EEEEEE" w:sz="1"/>
              <w:right w:val="none" w:color="FFFFFF" w:sz="0"/>
            </w:tcBorders>
            <w:shd w:fill="FFF5F5" w:val="clear"/>
            <w:tcMar>
              <w:top w:type="dxa" w:w="80"/>
              <w:left w:type="dxa" w:w="120"/>
              <w:bottom w:type="dxa" w:w="80"/>
              <w:right w:type="dxa" w:w="120"/>
            </w:tcMar>
          </w:tcPr>
          <w:p>
            <w:r>
              <w:rPr>
                <w:rFonts w:ascii="Arial" w:cs="Arial" w:eastAsia="Arial" w:hAnsi="Arial"/>
                <w:color w:val="CC3333"/>
                <w:sz w:val="22"/>
                <w:szCs w:val="22"/>
              </w:rPr>
              <w:t xml:space="preserve">$20,000–$50,000 to produce</w:t>
            </w:r>
          </w:p>
        </w:tc>
        <w:tc>
          <w:tcPr>
            <w:tcW w:type="dxa" w:w="2580"/>
            <w:tcBorders>
              <w:top w:val="single" w:color="EEEEEE" w:sz="1"/>
              <w:left w:val="none" w:color="FFFFFF" w:sz="0"/>
              <w:bottom w:val="single" w:color="EEEEEE" w:sz="1"/>
              <w:right w:val="none" w:color="FFFFFF" w:sz="0"/>
            </w:tcBorders>
            <w:shd w:fill="F0FFF5" w:val="clear"/>
            <w:tcMar>
              <w:top w:type="dxa" w:w="80"/>
              <w:left w:type="dxa" w:w="120"/>
              <w:bottom w:type="dxa" w:w="80"/>
              <w:right w:type="dxa" w:w="160"/>
            </w:tcMar>
          </w:tcPr>
          <w:p>
            <w:r>
              <w:rPr>
                <w:rFonts w:ascii="Arial" w:cs="Arial" w:eastAsia="Arial" w:hAnsi="Arial"/>
                <w:b/>
                <w:bCs/>
                <w:color w:val="1A7A3A"/>
                <w:sz w:val="22"/>
                <w:szCs w:val="22"/>
              </w:rPr>
              <w:t xml:space="preserve">Included</w:t>
            </w:r>
          </w:p>
        </w:tc>
      </w:tr>
      <w:tr>
        <w:tc>
          <w:tcPr>
            <w:tcW w:type="dxa" w:w="4200"/>
            <w:tcBorders>
              <w:top w:val="single" w:color="EEEEEE" w:sz="1"/>
              <w:left w:val="none" w:color="FFFFFF" w:sz="0"/>
              <w:bottom w:val="single" w:color="EEEEEE" w:sz="1"/>
              <w:right w:val="none" w:color="FFFFFF" w:sz="0"/>
            </w:tcBorders>
            <w:tcMar>
              <w:top w:type="dxa" w:w="80"/>
              <w:left w:type="dxa" w:w="160"/>
              <w:bottom w:type="dxa" w:w="80"/>
              <w:right w:type="dxa" w:w="120"/>
            </w:tcMar>
          </w:tcPr>
          <w:p>
            <w:r>
              <w:rPr>
                <w:rFonts w:ascii="Arial" w:cs="Arial" w:eastAsia="Arial" w:hAnsi="Arial"/>
                <w:b/>
                <w:bCs/>
                <w:color w:val="111111"/>
                <w:sz w:val="22"/>
                <w:szCs w:val="22"/>
              </w:rPr>
              <w:t xml:space="preserve">Launch Support &amp; Training</w:t>
            </w:r>
          </w:p>
        </w:tc>
        <w:tc>
          <w:tcPr>
            <w:tcW w:type="dxa" w:w="2580"/>
            <w:tcBorders>
              <w:top w:val="single" w:color="EEEEEE" w:sz="1"/>
              <w:left w:val="none" w:color="FFFFFF" w:sz="0"/>
              <w:bottom w:val="single" w:color="EEEEEE" w:sz="1"/>
              <w:right w:val="none" w:color="FFFFFF" w:sz="0"/>
            </w:tcBorders>
            <w:shd w:fill="FFF5F5" w:val="clear"/>
            <w:tcMar>
              <w:top w:type="dxa" w:w="80"/>
              <w:left w:type="dxa" w:w="120"/>
              <w:bottom w:type="dxa" w:w="80"/>
              <w:right w:type="dxa" w:w="120"/>
            </w:tcMar>
          </w:tcPr>
          <w:p>
            <w:r>
              <w:rPr>
                <w:rFonts w:ascii="Arial" w:cs="Arial" w:eastAsia="Arial" w:hAnsi="Arial"/>
                <w:color w:val="CC3333"/>
                <w:sz w:val="22"/>
                <w:szCs w:val="22"/>
              </w:rPr>
              <w:t xml:space="preserve">$30,000–$80,000 (consultants/coaches)</w:t>
            </w:r>
          </w:p>
        </w:tc>
        <w:tc>
          <w:tcPr>
            <w:tcW w:type="dxa" w:w="2580"/>
            <w:tcBorders>
              <w:top w:val="single" w:color="EEEEEE" w:sz="1"/>
              <w:left w:val="none" w:color="FFFFFF" w:sz="0"/>
              <w:bottom w:val="single" w:color="EEEEEE" w:sz="1"/>
              <w:right w:val="none" w:color="FFFFFF" w:sz="0"/>
            </w:tcBorders>
            <w:shd w:fill="F0FFF5" w:val="clear"/>
            <w:tcMar>
              <w:top w:type="dxa" w:w="80"/>
              <w:left w:type="dxa" w:w="120"/>
              <w:bottom w:type="dxa" w:w="80"/>
              <w:right w:type="dxa" w:w="160"/>
            </w:tcMar>
          </w:tcPr>
          <w:p>
            <w:r>
              <w:rPr>
                <w:rFonts w:ascii="Arial" w:cs="Arial" w:eastAsia="Arial" w:hAnsi="Arial"/>
                <w:b/>
                <w:bCs/>
                <w:color w:val="1A7A3A"/>
                <w:sz w:val="22"/>
                <w:szCs w:val="22"/>
              </w:rPr>
              <w:t xml:space="preserve">Included</w:t>
            </w:r>
          </w:p>
        </w:tc>
      </w:tr>
      <w:tr>
        <w:tc>
          <w:tcPr>
            <w:tcW w:type="dxa" w:w="4200"/>
            <w:tcBorders>
              <w:top w:val="single" w:color="EEEEEE" w:sz="1"/>
              <w:left w:val="none" w:color="FFFFFF" w:sz="0"/>
              <w:bottom w:val="single" w:color="EEEEEE" w:sz="1"/>
              <w:right w:val="none" w:color="FFFFFF" w:sz="0"/>
            </w:tcBorders>
            <w:tcMar>
              <w:top w:type="dxa" w:w="80"/>
              <w:left w:type="dxa" w:w="160"/>
              <w:bottom w:type="dxa" w:w="80"/>
              <w:right w:type="dxa" w:w="120"/>
            </w:tcMar>
          </w:tcPr>
          <w:p>
            <w:r>
              <w:rPr>
                <w:rFonts w:ascii="Arial" w:cs="Arial" w:eastAsia="Arial" w:hAnsi="Arial"/>
                <w:b/>
                <w:bCs/>
                <w:color w:val="111111"/>
                <w:sz w:val="22"/>
                <w:szCs w:val="22"/>
              </w:rPr>
              <w:t xml:space="preserve">Exclusive Protected Territory Rights</w:t>
            </w:r>
          </w:p>
        </w:tc>
        <w:tc>
          <w:tcPr>
            <w:tcW w:type="dxa" w:w="2580"/>
            <w:tcBorders>
              <w:top w:val="single" w:color="EEEEEE" w:sz="1"/>
              <w:left w:val="none" w:color="FFFFFF" w:sz="0"/>
              <w:bottom w:val="single" w:color="EEEEEE" w:sz="1"/>
              <w:right w:val="none" w:color="FFFFFF" w:sz="0"/>
            </w:tcBorders>
            <w:shd w:fill="FFF5F5" w:val="clear"/>
            <w:tcMar>
              <w:top w:type="dxa" w:w="80"/>
              <w:left w:type="dxa" w:w="120"/>
              <w:bottom w:type="dxa" w:w="80"/>
              <w:right w:type="dxa" w:w="120"/>
            </w:tcMar>
          </w:tcPr>
          <w:p>
            <w:r>
              <w:rPr>
                <w:rFonts w:ascii="Arial" w:cs="Arial" w:eastAsia="Arial" w:hAnsi="Arial"/>
                <w:color w:val="CC3333"/>
                <w:sz w:val="22"/>
                <w:szCs w:val="22"/>
              </w:rPr>
              <w:t xml:space="preserve">$50,000–$150,000 comparable market rate</w:t>
            </w:r>
          </w:p>
        </w:tc>
        <w:tc>
          <w:tcPr>
            <w:tcW w:type="dxa" w:w="2580"/>
            <w:tcBorders>
              <w:top w:val="single" w:color="EEEEEE" w:sz="1"/>
              <w:left w:val="none" w:color="FFFFFF" w:sz="0"/>
              <w:bottom w:val="single" w:color="EEEEEE" w:sz="1"/>
              <w:right w:val="none" w:color="FFFFFF" w:sz="0"/>
            </w:tcBorders>
            <w:shd w:fill="F0FFF5" w:val="clear"/>
            <w:tcMar>
              <w:top w:type="dxa" w:w="80"/>
              <w:left w:type="dxa" w:w="120"/>
              <w:bottom w:type="dxa" w:w="80"/>
              <w:right w:type="dxa" w:w="160"/>
            </w:tcMar>
          </w:tcPr>
          <w:p>
            <w:r>
              <w:rPr>
                <w:rFonts w:ascii="Arial" w:cs="Arial" w:eastAsia="Arial" w:hAnsi="Arial"/>
                <w:b/>
                <w:bCs/>
                <w:color w:val="1A7A3A"/>
                <w:sz w:val="22"/>
                <w:szCs w:val="22"/>
              </w:rPr>
              <w:t xml:space="preserve">Included</w:t>
            </w:r>
          </w:p>
        </w:tc>
      </w:tr>
      <w:tr>
        <w:tc>
          <w:tcPr>
            <w:tcW w:type="dxa" w:w="4200"/>
            <w:gridSpan w:val="1"/>
            <w:tcBorders>
              <w:top w:val="single" w:color="C8923A" w:sz="3"/>
              <w:left w:val="none" w:color="FFFFFF" w:sz="0"/>
              <w:bottom w:val="single" w:color="C8923A" w:sz="3"/>
              <w:right w:val="none" w:color="FFFFFF" w:sz="0"/>
            </w:tcBorders>
            <w:shd w:fill="111111" w:val="clear"/>
            <w:tcMar>
              <w:top w:type="dxa" w:w="120"/>
              <w:left w:type="dxa" w:w="160"/>
              <w:bottom w:type="dxa" w:w="120"/>
              <w:right w:type="dxa" w:w="120"/>
            </w:tcMar>
          </w:tcPr>
          <w:p>
            <w:r>
              <w:rPr>
                <w:rFonts w:ascii="Arial" w:cs="Arial" w:eastAsia="Arial" w:hAnsi="Arial"/>
                <w:b/>
                <w:bCs/>
                <w:color w:val="FFFFFF"/>
                <w:sz w:val="22"/>
                <w:szCs w:val="22"/>
              </w:rPr>
              <w:t xml:space="preserve">TOTAL YEAR-ONE EQUIVALENT VALUE</w:t>
            </w:r>
          </w:p>
        </w:tc>
        <w:tc>
          <w:tcPr>
            <w:tcW w:type="dxa" w:w="2580"/>
            <w:tcBorders>
              <w:top w:val="single" w:color="C8923A" w:sz="3"/>
              <w:left w:val="none" w:color="FFFFFF" w:sz="0"/>
              <w:bottom w:val="single" w:color="C8923A" w:sz="3"/>
              <w:right w:val="none" w:color="FFFFFF" w:sz="0"/>
            </w:tcBorders>
            <w:shd w:fill="330000" w:val="clear"/>
            <w:tcMar>
              <w:top w:type="dxa" w:w="120"/>
              <w:left w:type="dxa" w:w="120"/>
              <w:bottom w:type="dxa" w:w="120"/>
              <w:right w:type="dxa" w:w="120"/>
            </w:tcMar>
          </w:tcPr>
          <w:p>
            <w:r>
              <w:rPr>
                <w:rFonts w:ascii="Arial" w:cs="Arial" w:eastAsia="Arial" w:hAnsi="Arial"/>
                <w:b/>
                <w:bCs/>
                <w:color w:val="FF9999"/>
                <w:sz w:val="22"/>
                <w:szCs w:val="22"/>
              </w:rPr>
              <w:t xml:space="preserve">$455K–$1.19M+ to assemble</w:t>
            </w:r>
          </w:p>
        </w:tc>
        <w:tc>
          <w:tcPr>
            <w:tcW w:type="dxa" w:w="2580"/>
            <w:tcBorders>
              <w:top w:val="single" w:color="C8923A" w:sz="3"/>
              <w:left w:val="none" w:color="FFFFFF" w:sz="0"/>
              <w:bottom w:val="single" w:color="C8923A" w:sz="3"/>
              <w:right w:val="none" w:color="FFFFFF" w:sz="0"/>
            </w:tcBorders>
            <w:shd w:fill="001A00" w:val="clear"/>
            <w:tcMar>
              <w:top w:type="dxa" w:w="120"/>
              <w:left w:type="dxa" w:w="120"/>
              <w:bottom w:type="dxa" w:w="120"/>
              <w:right w:type="dxa" w:w="160"/>
            </w:tcMar>
          </w:tcPr>
          <w:p>
            <w:r>
              <w:rPr>
                <w:rFonts w:ascii="Arial" w:cs="Arial" w:eastAsia="Arial" w:hAnsi="Arial"/>
                <w:b/>
                <w:bCs/>
                <w:color w:val="66FF99"/>
                <w:sz w:val="22"/>
                <w:szCs w:val="22"/>
              </w:rPr>
              <w:t xml:space="preserve">$100,000 founding license</w:t>
            </w:r>
          </w:p>
        </w:tc>
      </w:tr>
    </w:tbl>
    <w:p>
      <w:pPr>
        <w:spacing w:after="80" w:before="80"/>
      </w:pPr>
      <w:r>
        <w:rPr>
          <w:rFonts w:ascii="Arial" w:cs="Arial" w:eastAsia="Arial" w:hAnsi="Arial"/>
          <w:i/>
          <w:iCs/>
          <w:color w:val="AAAAAA"/>
          <w:sz w:val="20"/>
          <w:szCs w:val="20"/>
        </w:rPr>
        <w:t xml:space="preserve">Disclaimer copy below table:</w:t>
      </w:r>
    </w:p>
    <w:p>
      <w:pPr>
        <w:spacing w:after="140" w:before="60"/>
      </w:pPr>
      <w:r>
        <w:rPr>
          <w:rFonts w:ascii="Arial" w:cs="Arial" w:eastAsia="Arial" w:hAnsi="Arial"/>
          <w:color w:val="444444"/>
          <w:sz w:val="24"/>
          <w:szCs w:val="24"/>
        </w:rPr>
        <w:t xml:space="preserve">"Figures above represent estimated year-one assembly costs based on market rates for comparable services. Individual costs vary. Revenue figures are historical and illustrative — individual operator results depend on market, execution, attendance, and conversion."</w:t>
      </w:r>
    </w:p>
    <w:p>
      <w:pPr>
        <w:pBdr>
          <w:left w:val="single" w:color="C8923A" w:sz="18" w:space="8"/>
        </w:pBdr>
        <w:shd w:fill="FFF8EE" w:val="clear"/>
        <w:spacing w:after="80" w:before="80"/>
        <w:ind w:left="360"/>
      </w:pPr>
      <w:r>
        <w:rPr>
          <w:rFonts w:ascii="Arial" w:cs="Arial" w:eastAsia="Arial" w:hAnsi="Arial"/>
          <w:i/>
          <w:iCs/>
          <w:color w:val="C8923A"/>
          <w:sz w:val="20"/>
          <w:szCs w:val="20"/>
        </w:rPr>
        <w:t xml:space="preserve">✎  COPY NOTE: The disclaimer is non-negotiable for compliance but should be minimal and in small print. The table itself should feel authoritative and clear.</w:t>
      </w:r>
    </w:p>
    <w:p>
      <w:pPr>
        <w:pBdr>
          <w:bottom w:val="single" w:color="C8923A" w:sz="6" w:space="1"/>
        </w:pBdr>
        <w:spacing w:after="400" w:before="400"/>
      </w:pPr>
    </w:p>
    <w:p>
      <w:pPr>
        <w:spacing w:after="120" w:before="560"/>
      </w:pPr>
      <w:r>
        <w:rPr>
          <w:rFonts w:ascii="Arial" w:cs="Arial" w:eastAsia="Arial" w:hAnsi="Arial"/>
          <w:b/>
          <w:bCs/>
          <w:color w:val="C8923A"/>
          <w:sz w:val="18"/>
          <w:szCs w:val="18"/>
        </w:rPr>
        <w:t xml:space="preserve">SECTION B — SETH BERGE, FOUNDER &amp; CEO</w:t>
      </w:r>
    </w:p>
    <w:p>
      <w:pPr>
        <w:pStyle w:val="Heading2"/>
        <w:spacing w:after="200" w:before="80"/>
      </w:pPr>
      <w:r>
        <w:rPr>
          <w:rFonts w:ascii="Arial" w:cs="Arial" w:eastAsia="Arial" w:hAnsi="Arial"/>
          <w:b/>
          <w:bCs/>
          <w:color w:val="111111"/>
          <w:sz w:val="40"/>
          <w:szCs w:val="40"/>
        </w:rPr>
        <w:t xml:space="preserve">SECTION PURPOSE</w:t>
      </w:r>
    </w:p>
    <w:p>
      <w:pPr>
        <w:spacing w:after="140" w:before="60"/>
      </w:pPr>
      <w:r>
        <w:rPr>
          <w:rFonts w:ascii="Arial" w:cs="Arial" w:eastAsia="Arial" w:hAnsi="Arial"/>
          <w:color w:val="444444"/>
          <w:sz w:val="24"/>
          <w:szCs w:val="24"/>
        </w:rPr>
        <w:t xml:space="preserve">This is the commercial credibility section. Seth's job on the page is to answer: 'Is this a real business built by someone who's actually done it?' The answer needs to be 'yes' before the prospect even finishes reading. This section should feel like a founder story, not a bio.</w:t>
      </w:r>
    </w:p>
    <w:p>
      <w:pPr>
        <w:pStyle w:val="Heading2"/>
        <w:spacing w:after="200" w:before="80"/>
      </w:pPr>
      <w:r>
        <w:rPr>
          <w:rFonts w:ascii="Arial" w:cs="Arial" w:eastAsia="Arial" w:hAnsi="Arial"/>
          <w:b/>
          <w:bCs/>
          <w:color w:val="111111"/>
          <w:sz w:val="40"/>
          <w:szCs w:val="40"/>
        </w:rPr>
        <w:t xml:space="preserve">SECTION HEADLINE OPTIONS</w:t>
      </w:r>
    </w:p>
    <w:p>
      <w:pPr>
        <w:spacing w:after="80" w:before="200"/>
      </w:pPr>
      <w:r>
        <w:rPr>
          <w:rFonts w:ascii="Arial" w:cs="Arial" w:eastAsia="Arial" w:hAnsi="Arial"/>
          <w:b/>
          <w:bCs/>
          <w:caps/>
          <w:color w:val="C8923A"/>
          <w:sz w:val="19"/>
          <w:szCs w:val="19"/>
        </w:rPr>
        <w:t xml:space="preserve">OPTION 1 — ORIGIN STORY LEAD (RECOMMENDED)</w:t>
      </w:r>
    </w:p>
    <w:p>
      <w:pPr>
        <w:pStyle w:val="Heading3"/>
        <w:spacing w:after="100" w:before="320"/>
      </w:pPr>
      <w:r>
        <w:rPr>
          <w:rFonts w:ascii="Arial" w:cs="Arial" w:eastAsia="Arial" w:hAnsi="Arial"/>
          <w:b/>
          <w:bCs/>
          <w:color w:val="111111"/>
          <w:sz w:val="30"/>
          <w:szCs w:val="30"/>
        </w:rPr>
        <w:t xml:space="preserve">He Didn't Build a Licensing Program. He Built the Infrastructure First.</w:t>
      </w:r>
    </w:p>
    <w:p>
      <w:pPr>
        <w:spacing w:after="140" w:before="60"/>
      </w:pPr>
      <w:r>
        <w:rPr>
          <w:rFonts w:ascii="Arial" w:cs="Arial" w:eastAsia="Arial" w:hAnsi="Arial"/>
          <w:color w:val="444444"/>
          <w:sz w:val="24"/>
          <w:szCs w:val="24"/>
        </w:rPr>
        <w:t xml:space="preserve">Why it works: Reframes the license as an output of real operational work, not a packaged product. This preempts 'is this just another info-product?' skepticism immediately.</w:t>
      </w:r>
    </w:p>
    <w:p>
      <w:pPr>
        <w:spacing w:after="80" w:before="200"/>
      </w:pPr>
      <w:r>
        <w:rPr>
          <w:rFonts w:ascii="Arial" w:cs="Arial" w:eastAsia="Arial" w:hAnsi="Arial"/>
          <w:b/>
          <w:bCs/>
          <w:caps/>
          <w:color w:val="C8923A"/>
          <w:sz w:val="19"/>
          <w:szCs w:val="19"/>
        </w:rPr>
        <w:t xml:space="preserve">OPTION 2 — TRACK RECORD LEAD</w:t>
      </w:r>
    </w:p>
    <w:p>
      <w:pPr>
        <w:pStyle w:val="Heading3"/>
        <w:spacing w:after="100" w:before="320"/>
      </w:pPr>
      <w:r>
        <w:rPr>
          <w:rFonts w:ascii="Arial" w:cs="Arial" w:eastAsia="Arial" w:hAnsi="Arial"/>
          <w:b/>
          <w:bCs/>
          <w:color w:val="111111"/>
          <w:sz w:val="30"/>
          <w:szCs w:val="30"/>
        </w:rPr>
        <w:t xml:space="preserve">Seven Years. 100+ Clinics. $100M+ in Combined Revenue. Then He Built the License.</w:t>
      </w:r>
    </w:p>
    <w:p>
      <w:pPr>
        <w:spacing w:after="80" w:before="200"/>
      </w:pPr>
      <w:r>
        <w:rPr>
          <w:rFonts w:ascii="Arial" w:cs="Arial" w:eastAsia="Arial" w:hAnsi="Arial"/>
          <w:b/>
          <w:bCs/>
          <w:caps/>
          <w:color w:val="C8923A"/>
          <w:sz w:val="19"/>
          <w:szCs w:val="19"/>
        </w:rPr>
        <w:t xml:space="preserve">OPTION 3 — AUTHORITY LEAD</w:t>
      </w:r>
    </w:p>
    <w:p>
      <w:pPr>
        <w:pStyle w:val="Heading3"/>
        <w:spacing w:after="100" w:before="320"/>
      </w:pPr>
      <w:r>
        <w:rPr>
          <w:rFonts w:ascii="Arial" w:cs="Arial" w:eastAsia="Arial" w:hAnsi="Arial"/>
          <w:b/>
          <w:bCs/>
          <w:color w:val="111111"/>
          <w:sz w:val="30"/>
          <w:szCs w:val="30"/>
        </w:rPr>
        <w:t xml:space="preserve">The Man Behind the Model. Seth Berge Has Already Done What You're About to Start.</w:t>
      </w:r>
    </w:p>
    <w:p>
      <w:pPr>
        <w:pStyle w:val="Heading2"/>
        <w:spacing w:after="200" w:before="80"/>
      </w:pPr>
      <w:r>
        <w:rPr>
          <w:rFonts w:ascii="Arial" w:cs="Arial" w:eastAsia="Arial" w:hAnsi="Arial"/>
          <w:b/>
          <w:bCs/>
          <w:color w:val="111111"/>
          <w:sz w:val="40"/>
          <w:szCs w:val="40"/>
        </w:rPr>
        <w:t xml:space="preserve">SETH SECTION BODY COPY</w:t>
      </w:r>
    </w:p>
    <w:p>
      <w:pPr>
        <w:spacing w:after="80" w:before="200"/>
      </w:pPr>
      <w:r>
        <w:rPr>
          <w:rFonts w:ascii="Arial" w:cs="Arial" w:eastAsia="Arial" w:hAnsi="Arial"/>
          <w:b/>
          <w:bCs/>
          <w:caps/>
          <w:color w:val="C8923A"/>
          <w:sz w:val="19"/>
          <w:szCs w:val="19"/>
        </w:rPr>
        <w:t xml:space="preserve">BLOCK 1 — ORIGIN STORY</w:t>
      </w:r>
    </w:p>
    <w:p>
      <w:pPr>
        <w:spacing w:after="140" w:before="60"/>
      </w:pPr>
      <w:r>
        <w:rPr>
          <w:rFonts w:ascii="Arial" w:cs="Arial" w:eastAsia="Arial" w:hAnsi="Arial"/>
          <w:color w:val="444444"/>
          <w:sz w:val="24"/>
          <w:szCs w:val="24"/>
        </w:rPr>
        <w:t xml:space="preserve">Seth Berge spent seven years building the commercial infrastructure that makes regenerative medicine practices profitable — before he ever offered a license.</w:t>
      </w:r>
    </w:p>
    <w:p>
      <w:pPr>
        <w:spacing w:after="140" w:before="60"/>
      </w:pPr>
      <w:r>
        <w:rPr>
          <w:rFonts w:ascii="Arial" w:cs="Arial" w:eastAsia="Arial" w:hAnsi="Arial"/>
          <w:color w:val="444444"/>
          <w:sz w:val="24"/>
          <w:szCs w:val="24"/>
        </w:rPr>
        <w:t xml:space="preserve">He founded Precision Biologics to solve a supply problem: practices trying to offer regenerative therapy were sourcing at retail, compressing margins, and struggling to sustain the model. Precision Biologics created a wholesale supply network that now powers 100+ clinic relationships nationwide.</w:t>
      </w:r>
    </w:p>
    <w:p>
      <w:pPr>
        <w:spacing w:after="140" w:before="60"/>
      </w:pPr>
      <w:r>
        <w:rPr>
          <w:rFonts w:ascii="Arial" w:cs="Arial" w:eastAsia="Arial" w:hAnsi="Arial"/>
          <w:color w:val="444444"/>
          <w:sz w:val="24"/>
          <w:szCs w:val="24"/>
        </w:rPr>
        <w:t xml:space="preserve">While building the supply side, Seth identified a second gap: practices had access to good products but no reliable patient acquisition system. Most were doing one-off marketing, sporadic events, and inconsistent follow-up. Seth developed the dinner seminar model — an education-first live event format designed to fill a room with pre-qualified buyers, build local authority fast, and convert attendees into high-ticket consultations. The same format has generated $100M+ in combined annual revenue across his network.</w:t>
      </w:r>
    </w:p>
    <w:p>
      <w:pPr>
        <w:spacing w:after="140" w:before="60"/>
      </w:pPr>
      <w:r>
        <w:rPr>
          <w:rFonts w:ascii="Arial" w:cs="Arial" w:eastAsia="Arial" w:hAnsi="Arial"/>
          <w:color w:val="444444"/>
          <w:sz w:val="24"/>
          <w:szCs w:val="24"/>
        </w:rPr>
        <w:t xml:space="preserve">Got Stem Cells? is the licensed access point to everything he built. When you acquire a territory, you're inheriting Seth's seven years of operational learning, his supply chain relationships, and his proven acquisition system — applied to your market.</w:t>
      </w:r>
    </w:p>
    <w:p>
      <w:pPr>
        <w:spacing w:after="80" w:before="200"/>
      </w:pPr>
      <w:r>
        <w:rPr>
          <w:rFonts w:ascii="Arial" w:cs="Arial" w:eastAsia="Arial" w:hAnsi="Arial"/>
          <w:b/>
          <w:bCs/>
          <w:caps/>
          <w:color w:val="C8923A"/>
          <w:sz w:val="19"/>
          <w:szCs w:val="19"/>
        </w:rPr>
        <w:t xml:space="preserve">BLOCK 2 — WHAT SETH'S INVOLVEMENT MEANS TO THE OPERATOR</w:t>
      </w:r>
    </w:p>
    <w:p>
      <w:pPr>
        <w:spacing w:after="80" w:before="260"/>
      </w:pPr>
      <w:r>
        <w:rPr>
          <w:rFonts w:ascii="Arial" w:cs="Arial" w:eastAsia="Arial" w:hAnsi="Arial"/>
          <w:b/>
          <w:bCs/>
          <w:color w:val="111111"/>
          <w:sz w:val="26"/>
          <w:szCs w:val="26"/>
        </w:rPr>
        <w:t xml:space="preserve">What Working With Seth Means for Your Territory</w:t>
      </w:r>
    </w:p>
    <w:p>
      <w:pPr>
        <w:pStyle w:val="ListParagraph"/>
        <w:numPr>
          <w:ilvl w:val="0"/>
          <w:numId w:val="2"/>
        </w:numPr>
        <w:spacing w:after="60" w:before="60"/>
      </w:pPr>
      <w:r>
        <w:rPr>
          <w:rFonts w:ascii="Arial" w:cs="Arial" w:eastAsia="Arial" w:hAnsi="Arial"/>
          <w:b/>
          <w:bCs/>
          <w:color w:val="111111"/>
          <w:sz w:val="24"/>
          <w:szCs w:val="24"/>
        </w:rPr>
        <w:t xml:space="preserve">Proven IP:  </w:t>
      </w:r>
      <w:r>
        <w:rPr>
          <w:rFonts w:ascii="Arial" w:cs="Arial" w:eastAsia="Arial" w:hAnsi="Arial"/>
          <w:color w:val="444444"/>
          <w:sz w:val="24"/>
          <w:szCs w:val="24"/>
        </w:rPr>
        <w:t xml:space="preserve">You launch with a seminar system that has seven years and 100+ events of refinement behind it — not a first draft.</w:t>
      </w:r>
    </w:p>
    <w:p>
      <w:pPr>
        <w:pStyle w:val="ListParagraph"/>
        <w:numPr>
          <w:ilvl w:val="0"/>
          <w:numId w:val="2"/>
        </w:numPr>
        <w:spacing w:after="60" w:before="60"/>
      </w:pPr>
      <w:r>
        <w:rPr>
          <w:rFonts w:ascii="Arial" w:cs="Arial" w:eastAsia="Arial" w:hAnsi="Arial"/>
          <w:b/>
          <w:bCs/>
          <w:color w:val="111111"/>
          <w:sz w:val="24"/>
          <w:szCs w:val="24"/>
        </w:rPr>
        <w:t xml:space="preserve">Wholesale supply:  </w:t>
      </w:r>
      <w:r>
        <w:rPr>
          <w:rFonts w:ascii="Arial" w:cs="Arial" w:eastAsia="Arial" w:hAnsi="Arial"/>
          <w:color w:val="444444"/>
          <w:sz w:val="24"/>
          <w:szCs w:val="24"/>
        </w:rPr>
        <w:t xml:space="preserve">You access wholesale stem cell pricing through Seth's supply network — the same cost structure that makes 40% net margins achievable.</w:t>
      </w:r>
    </w:p>
    <w:p>
      <w:pPr>
        <w:pStyle w:val="ListParagraph"/>
        <w:numPr>
          <w:ilvl w:val="0"/>
          <w:numId w:val="2"/>
        </w:numPr>
        <w:spacing w:after="60" w:before="60"/>
      </w:pPr>
      <w:r>
        <w:rPr>
          <w:rFonts w:ascii="Arial" w:cs="Arial" w:eastAsia="Arial" w:hAnsi="Arial"/>
          <w:b/>
          <w:bCs/>
          <w:color w:val="111111"/>
          <w:sz w:val="24"/>
          <w:szCs w:val="24"/>
        </w:rPr>
        <w:t xml:space="preserve">Operator playbook:  </w:t>
      </w:r>
      <w:r>
        <w:rPr>
          <w:rFonts w:ascii="Arial" w:cs="Arial" w:eastAsia="Arial" w:hAnsi="Arial"/>
          <w:color w:val="444444"/>
          <w:sz w:val="24"/>
          <w:szCs w:val="24"/>
        </w:rPr>
        <w:t xml:space="preserve">You get the operator playbook Seth built from field experience — not theory, not consulting frameworks.</w:t>
      </w:r>
    </w:p>
    <w:p>
      <w:pPr>
        <w:pStyle w:val="ListParagraph"/>
        <w:numPr>
          <w:ilvl w:val="0"/>
          <w:numId w:val="2"/>
        </w:numPr>
        <w:spacing w:after="60" w:before="60"/>
      </w:pPr>
      <w:r>
        <w:rPr>
          <w:rFonts w:ascii="Arial" w:cs="Arial" w:eastAsia="Arial" w:hAnsi="Arial"/>
          <w:b/>
          <w:bCs/>
          <w:color w:val="111111"/>
          <w:sz w:val="24"/>
          <w:szCs w:val="24"/>
        </w:rPr>
        <w:t xml:space="preserve">Direct access:  </w:t>
      </w:r>
      <w:r>
        <w:rPr>
          <w:rFonts w:ascii="Arial" w:cs="Arial" w:eastAsia="Arial" w:hAnsi="Arial"/>
          <w:color w:val="444444"/>
          <w:sz w:val="24"/>
          <w:szCs w:val="24"/>
        </w:rPr>
        <w:t xml:space="preserve">You have a direct line to the person who built the commercial model and can answer operational questions from experience.</w:t>
      </w:r>
    </w:p>
    <w:p>
      <w:pPr>
        <w:spacing w:after="80" w:before="200"/>
      </w:pPr>
      <w:r>
        <w:rPr>
          <w:rFonts w:ascii="Arial" w:cs="Arial" w:eastAsia="Arial" w:hAnsi="Arial"/>
          <w:b/>
          <w:bCs/>
          <w:caps/>
          <w:color w:val="C8923A"/>
          <w:sz w:val="19"/>
          <w:szCs w:val="19"/>
        </w:rPr>
        <w:t xml:space="preserve">BLOCK 3 — STATS/PROOF</w:t>
      </w:r>
    </w:p>
    <w:p>
      <w:pPr>
        <w:spacing w:after="80" w:before="160"/>
      </w:pPr>
      <w:r>
        <w:rPr>
          <w:rFonts w:ascii="Arial" w:cs="Arial" w:eastAsia="Arial" w:hAnsi="Arial"/>
          <w:b/>
          <w:bCs/>
          <w:color w:val="C8923A"/>
          <w:sz w:val="36"/>
          <w:szCs w:val="36"/>
        </w:rPr>
        <w:t xml:space="preserve">7 Years  </w:t>
      </w:r>
      <w:r>
        <w:rPr>
          <w:rFonts w:ascii="Arial" w:cs="Arial" w:eastAsia="Arial" w:hAnsi="Arial"/>
          <w:color w:val="777777"/>
          <w:sz w:val="22"/>
          <w:szCs w:val="22"/>
        </w:rPr>
        <w:t xml:space="preserve">  Building regenerative medicine infrastructure</w:t>
      </w:r>
    </w:p>
    <w:p>
      <w:pPr>
        <w:spacing w:after="80" w:before="60"/>
      </w:pPr>
      <w:r>
        <w:rPr>
          <w:rFonts w:ascii="Arial" w:cs="Arial" w:eastAsia="Arial" w:hAnsi="Arial"/>
          <w:b/>
          <w:bCs/>
          <w:color w:val="C8923A"/>
          <w:sz w:val="36"/>
          <w:szCs w:val="36"/>
        </w:rPr>
        <w:t xml:space="preserve">100+  </w:t>
      </w:r>
      <w:r>
        <w:rPr>
          <w:rFonts w:ascii="Arial" w:cs="Arial" w:eastAsia="Arial" w:hAnsi="Arial"/>
          <w:color w:val="777777"/>
          <w:sz w:val="22"/>
          <w:szCs w:val="22"/>
        </w:rPr>
        <w:t xml:space="preserve">  Clinic relationships powered by Precision Biologics supply chain</w:t>
      </w:r>
    </w:p>
    <w:p>
      <w:pPr>
        <w:spacing w:after="80" w:before="60"/>
      </w:pPr>
      <w:r>
        <w:rPr>
          <w:rFonts w:ascii="Arial" w:cs="Arial" w:eastAsia="Arial" w:hAnsi="Arial"/>
          <w:b/>
          <w:bCs/>
          <w:color w:val="C8923A"/>
          <w:sz w:val="36"/>
          <w:szCs w:val="36"/>
        </w:rPr>
        <w:t xml:space="preserve">$100M+  </w:t>
      </w:r>
      <w:r>
        <w:rPr>
          <w:rFonts w:ascii="Arial" w:cs="Arial" w:eastAsia="Arial" w:hAnsi="Arial"/>
          <w:color w:val="777777"/>
          <w:sz w:val="22"/>
          <w:szCs w:val="22"/>
        </w:rPr>
        <w:t xml:space="preserve">  Combined annual revenue generated by network partners</w:t>
      </w:r>
    </w:p>
    <w:p>
      <w:pPr>
        <w:spacing w:after="160" w:before="60"/>
      </w:pPr>
      <w:r>
        <w:rPr>
          <w:rFonts w:ascii="Arial" w:cs="Arial" w:eastAsia="Arial" w:hAnsi="Arial"/>
          <w:b/>
          <w:bCs/>
          <w:color w:val="C8923A"/>
          <w:sz w:val="36"/>
          <w:szCs w:val="36"/>
        </w:rPr>
        <w:t xml:space="preserve">4  </w:t>
      </w:r>
      <w:r>
        <w:rPr>
          <w:rFonts w:ascii="Arial" w:cs="Arial" w:eastAsia="Arial" w:hAnsi="Arial"/>
          <w:color w:val="777777"/>
          <w:sz w:val="22"/>
          <w:szCs w:val="22"/>
        </w:rPr>
        <w:t xml:space="preserve">  Regenerative medicine companies built and scaled (Precision Biologics, Regenerative Revival, Amplified Wellness, Got Stem Cells?)</w:t>
      </w:r>
    </w:p>
    <w:p>
      <w:pPr>
        <w:spacing w:after="80" w:before="200"/>
      </w:pPr>
      <w:r>
        <w:rPr>
          <w:rFonts w:ascii="Arial" w:cs="Arial" w:eastAsia="Arial" w:hAnsi="Arial"/>
          <w:b/>
          <w:bCs/>
          <w:caps/>
          <w:color w:val="C8923A"/>
          <w:sz w:val="19"/>
          <w:szCs w:val="19"/>
        </w:rPr>
        <w:t xml:space="preserve">BLOCK 4 — SETH QUOTE</w:t>
      </w:r>
    </w:p>
    <w:p>
      <w:pPr>
        <w:pBdr>
          <w:left w:val="single" w:color="C8923A" w:sz="18" w:space="8"/>
        </w:pBdr>
        <w:spacing w:after="60" w:before="160"/>
        <w:ind w:left="480"/>
      </w:pPr>
      <w:r>
        <w:rPr>
          <w:rFonts w:ascii="Arial" w:cs="Arial" w:eastAsia="Arial" w:hAnsi="Arial"/>
          <w:i/>
          <w:iCs/>
          <w:color w:val="444444"/>
          <w:sz w:val="24"/>
          <w:szCs w:val="24"/>
        </w:rPr>
        <w:t xml:space="preserve">"Most operators spend two to three years and several hundred thousand dollars trying to build what we hand you on day one. You're not starting from scratch. You're inheriting seven years of operational learning, a proven patient acquisition engine, and a protected market that's yours to own."</w:t>
      </w:r>
    </w:p>
    <w:p>
      <w:pPr>
        <w:spacing w:after="160" w:before="0"/>
        <w:ind w:left="480"/>
      </w:pPr>
      <w:r>
        <w:rPr>
          <w:rFonts w:ascii="Arial" w:cs="Arial" w:eastAsia="Arial" w:hAnsi="Arial"/>
          <w:b/>
          <w:bCs/>
          <w:color w:val="777777"/>
          <w:sz w:val="20"/>
          <w:szCs w:val="20"/>
        </w:rPr>
        <w:t xml:space="preserve">— Seth Berge, Founder &amp; CEO — Got Stem Cells? &amp; Precision Biologics</w:t>
      </w:r>
    </w:p>
    <w:p>
      <w:pPr>
        <w:spacing w:after="80" w:before="200"/>
      </w:pPr>
      <w:r>
        <w:rPr>
          <w:rFonts w:ascii="Arial" w:cs="Arial" w:eastAsia="Arial" w:hAnsi="Arial"/>
          <w:b/>
          <w:bCs/>
          <w:caps/>
          <w:color w:val="C8923A"/>
          <w:sz w:val="19"/>
          <w:szCs w:val="19"/>
        </w:rPr>
        <w:t xml:space="preserve">VIDEO SLOT — EMBED NOTE</w:t>
      </w:r>
    </w:p>
    <w:p>
      <w:pPr>
        <w:shd w:fill="EEF4FF" w:val="clear"/>
        <w:spacing w:after="80" w:before="200"/>
        <w:ind w:left="360"/>
      </w:pPr>
      <w:r>
        <w:rPr>
          <w:rFonts w:ascii="Arial" w:cs="Arial" w:eastAsia="Arial" w:hAnsi="Arial"/>
          <w:b/>
          <w:bCs/>
          <w:color w:val="2255AA"/>
          <w:sz w:val="22"/>
          <w:szCs w:val="22"/>
        </w:rPr>
        <w:t xml:space="preserve">🎬  VIDEO SLOT: Seth's founder story video goes here. 3–5 min. Cover: why he built it, the supply chain origin, the seminar model evolution, what operators get that he didn't have when he started. This is the section's most powerful trust tool — prioritize getting this filmed.</w:t>
      </w:r>
    </w:p>
    <w:p>
      <w:pPr>
        <w:pBdr>
          <w:left w:val="single" w:color="C8923A" w:sz="18" w:space="8"/>
        </w:pBdr>
        <w:shd w:fill="FFF8EE" w:val="clear"/>
        <w:spacing w:after="80" w:before="80"/>
        <w:ind w:left="360"/>
      </w:pPr>
      <w:r>
        <w:rPr>
          <w:rFonts w:ascii="Arial" w:cs="Arial" w:eastAsia="Arial" w:hAnsi="Arial"/>
          <w:i/>
          <w:iCs/>
          <w:color w:val="C8923A"/>
          <w:sz w:val="20"/>
          <w:szCs w:val="20"/>
        </w:rPr>
        <w:t xml:space="preserve">✎  COPY NOTE: The video is optional but strongly recommended for a $100K sale. A direct-to-camera 3–5 minute founder story from Seth would do more conversion work than any amount of copy. If it exists, feature it prominently. If not, flag as a priority production asset.</w:t>
      </w:r>
    </w:p>
    <w:p>
      <w:pPr>
        <w:pBdr>
          <w:bottom w:val="single" w:color="C8923A" w:sz="6" w:space="1"/>
        </w:pBdr>
        <w:spacing w:after="400" w:before="400"/>
      </w:pPr>
    </w:p>
    <w:p>
      <w:pPr>
        <w:spacing w:after="120" w:before="560"/>
      </w:pPr>
      <w:r>
        <w:rPr>
          <w:rFonts w:ascii="Arial" w:cs="Arial" w:eastAsia="Arial" w:hAnsi="Arial"/>
          <w:b/>
          <w:bCs/>
          <w:color w:val="C8923A"/>
          <w:sz w:val="18"/>
          <w:szCs w:val="18"/>
        </w:rPr>
        <w:t xml:space="preserve">SECTION C — DR. SEAN ARORA, MEDICAL DIRECTOR</w:t>
      </w:r>
    </w:p>
    <w:p>
      <w:pPr>
        <w:pStyle w:val="Heading2"/>
        <w:spacing w:after="200" w:before="80"/>
      </w:pPr>
      <w:r>
        <w:rPr>
          <w:rFonts w:ascii="Arial" w:cs="Arial" w:eastAsia="Arial" w:hAnsi="Arial"/>
          <w:b/>
          <w:bCs/>
          <w:color w:val="111111"/>
          <w:sz w:val="40"/>
          <w:szCs w:val="40"/>
        </w:rPr>
        <w:t xml:space="preserve">SECTION PURPOSE</w:t>
      </w:r>
    </w:p>
    <w:p>
      <w:pPr>
        <w:spacing w:after="140" w:before="60"/>
      </w:pPr>
      <w:r>
        <w:rPr>
          <w:rFonts w:ascii="Arial" w:cs="Arial" w:eastAsia="Arial" w:hAnsi="Arial"/>
          <w:color w:val="444444"/>
          <w:sz w:val="24"/>
          <w:szCs w:val="24"/>
        </w:rPr>
        <w:t xml:space="preserve">Dr. Arora's section has one job: eliminate the #1 objection that stops non-medical operators from moving forward. 'Do I need a medical license?' is the question every qualified prospect asks. This section answers it completely — with credentials, financial anchoring, and a clear statement of what his involvement covers. It should feel authoritative, not warm.</w:t>
      </w:r>
    </w:p>
    <w:p>
      <w:pPr>
        <w:pStyle w:val="Heading2"/>
        <w:spacing w:after="200" w:before="80"/>
      </w:pPr>
      <w:r>
        <w:rPr>
          <w:rFonts w:ascii="Arial" w:cs="Arial" w:eastAsia="Arial" w:hAnsi="Arial"/>
          <w:b/>
          <w:bCs/>
          <w:color w:val="111111"/>
          <w:sz w:val="40"/>
          <w:szCs w:val="40"/>
        </w:rPr>
        <w:t xml:space="preserve">SECTION HEADLINE OPTIONS</w:t>
      </w:r>
    </w:p>
    <w:p>
      <w:pPr>
        <w:spacing w:after="80" w:before="200"/>
      </w:pPr>
      <w:r>
        <w:rPr>
          <w:rFonts w:ascii="Arial" w:cs="Arial" w:eastAsia="Arial" w:hAnsi="Arial"/>
          <w:b/>
          <w:bCs/>
          <w:caps/>
          <w:color w:val="C8923A"/>
          <w:sz w:val="19"/>
          <w:szCs w:val="19"/>
        </w:rPr>
        <w:t xml:space="preserve">OPTION 1 — OBJECTION-FIRST LEAD (RECOMMENDED)</w:t>
      </w:r>
    </w:p>
    <w:p>
      <w:pPr>
        <w:pStyle w:val="Heading3"/>
        <w:spacing w:after="100" w:before="320"/>
      </w:pPr>
      <w:r>
        <w:rPr>
          <w:rFonts w:ascii="Arial" w:cs="Arial" w:eastAsia="Arial" w:hAnsi="Arial"/>
          <w:b/>
          <w:bCs/>
          <w:color w:val="111111"/>
          <w:sz w:val="30"/>
          <w:szCs w:val="30"/>
        </w:rPr>
        <w:t xml:space="preserve">The Question Every Serious Operator Asks. Answered Completely.</w:t>
      </w:r>
    </w:p>
    <w:p>
      <w:pPr>
        <w:spacing w:after="80" w:before="200"/>
      </w:pPr>
      <w:r>
        <w:rPr>
          <w:rFonts w:ascii="Arial" w:cs="Arial" w:eastAsia="Arial" w:hAnsi="Arial"/>
          <w:b/>
          <w:bCs/>
          <w:caps/>
          <w:color w:val="C8923A"/>
          <w:sz w:val="19"/>
          <w:szCs w:val="19"/>
        </w:rPr>
        <w:t xml:space="preserve">OPTION 2 — FINANCIAL ANCHOR LEAD</w:t>
      </w:r>
    </w:p>
    <w:p>
      <w:pPr>
        <w:pStyle w:val="Heading3"/>
        <w:spacing w:after="100" w:before="320"/>
      </w:pPr>
      <w:r>
        <w:rPr>
          <w:rFonts w:ascii="Arial" w:cs="Arial" w:eastAsia="Arial" w:hAnsi="Arial"/>
          <w:b/>
          <w:bCs/>
          <w:color w:val="111111"/>
          <w:sz w:val="30"/>
          <w:szCs w:val="30"/>
        </w:rPr>
        <w:t xml:space="preserve">Most Operators Pay $60,000–$180,000 Per Year for What Dr. Arora Provides. It's Included in Your License.</w:t>
      </w:r>
    </w:p>
    <w:p>
      <w:pPr>
        <w:spacing w:after="140" w:before="60"/>
      </w:pPr>
      <w:r>
        <w:rPr>
          <w:rFonts w:ascii="Arial" w:cs="Arial" w:eastAsia="Arial" w:hAnsi="Arial"/>
          <w:color w:val="444444"/>
          <w:sz w:val="24"/>
          <w:szCs w:val="24"/>
        </w:rPr>
        <w:t xml:space="preserve">Why it works: Leads with money. The financial anchor makes the section feel like a line item on a balance sheet, not just a credential.</w:t>
      </w:r>
    </w:p>
    <w:p>
      <w:pPr>
        <w:spacing w:after="80" w:before="200"/>
      </w:pPr>
      <w:r>
        <w:rPr>
          <w:rFonts w:ascii="Arial" w:cs="Arial" w:eastAsia="Arial" w:hAnsi="Arial"/>
          <w:b/>
          <w:bCs/>
          <w:caps/>
          <w:color w:val="C8923A"/>
          <w:sz w:val="19"/>
          <w:szCs w:val="19"/>
        </w:rPr>
        <w:t xml:space="preserve">OPTION 3 — AUTHORITY LEAD</w:t>
      </w:r>
    </w:p>
    <w:p>
      <w:pPr>
        <w:pStyle w:val="Heading3"/>
        <w:spacing w:after="100" w:before="320"/>
      </w:pPr>
      <w:r>
        <w:rPr>
          <w:rFonts w:ascii="Arial" w:cs="Arial" w:eastAsia="Arial" w:hAnsi="Arial"/>
          <w:b/>
          <w:bCs/>
          <w:color w:val="111111"/>
          <w:sz w:val="30"/>
          <w:szCs w:val="30"/>
        </w:rPr>
        <w:t xml:space="preserve">Board-Certified. Licensed in All 50 States. The Clinical Foundation Behind Every Territory.</w:t>
      </w:r>
    </w:p>
    <w:p>
      <w:pPr>
        <w:pStyle w:val="Heading2"/>
        <w:spacing w:after="200" w:before="80"/>
      </w:pPr>
      <w:r>
        <w:rPr>
          <w:rFonts w:ascii="Arial" w:cs="Arial" w:eastAsia="Arial" w:hAnsi="Arial"/>
          <w:b/>
          <w:bCs/>
          <w:color w:val="111111"/>
          <w:sz w:val="40"/>
          <w:szCs w:val="40"/>
        </w:rPr>
        <w:t xml:space="preserve">DR. ARORA SECTION BODY COPY</w:t>
      </w:r>
    </w:p>
    <w:p>
      <w:pPr>
        <w:spacing w:after="80" w:before="200"/>
      </w:pPr>
      <w:r>
        <w:rPr>
          <w:rFonts w:ascii="Arial" w:cs="Arial" w:eastAsia="Arial" w:hAnsi="Arial"/>
          <w:b/>
          <w:bCs/>
          <w:caps/>
          <w:color w:val="C8923A"/>
          <w:sz w:val="19"/>
          <w:szCs w:val="19"/>
        </w:rPr>
        <w:t xml:space="preserve">BLOCK 1 — THE OBJECTION FRAMED</w:t>
      </w:r>
    </w:p>
    <w:p>
      <w:pPr>
        <w:spacing w:after="140" w:before="60"/>
      </w:pPr>
      <w:r>
        <w:rPr>
          <w:rFonts w:ascii="Arial" w:cs="Arial" w:eastAsia="Arial" w:hAnsi="Arial"/>
          <w:color w:val="444444"/>
          <w:sz w:val="24"/>
          <w:szCs w:val="24"/>
        </w:rPr>
        <w:t xml:space="preserve">Before any qualified operator moves forward with a territory, they ask the same question: 'Do I need a medical license to run this?'</w:t>
      </w:r>
    </w:p>
    <w:p>
      <w:pPr>
        <w:spacing w:after="140" w:before="60"/>
      </w:pPr>
      <w:r>
        <w:rPr>
          <w:rFonts w:ascii="Arial" w:cs="Arial" w:eastAsia="Arial" w:hAnsi="Arial"/>
          <w:color w:val="444444"/>
          <w:sz w:val="24"/>
          <w:szCs w:val="24"/>
        </w:rPr>
        <w:t xml:space="preserve">The answer is no — and not because of a workaround, a gray area, or a legal technicality. Because Dr. Sean Arora is a Board-Certified MD, licensed across all 50 states, and his physician oversight is built into every Got Stem Cells? territory license at no additional cost.</w:t>
      </w:r>
    </w:p>
    <w:p>
      <w:pPr>
        <w:spacing w:after="140" w:before="60"/>
      </w:pPr>
      <w:r>
        <w:rPr>
          <w:rFonts w:ascii="Arial" w:cs="Arial" w:eastAsia="Arial" w:hAnsi="Arial"/>
          <w:color w:val="444444"/>
          <w:sz w:val="24"/>
          <w:szCs w:val="24"/>
        </w:rPr>
        <w:t xml:space="preserve">Most serious operators trying to enter regenerative medicine spend 6–18 months and $60,000–$180,000 per year sourcing a Medical Director independently — if they can find one willing to work with a non-clinical operator at all. Dr. Arora's involvement removes that barrier entirely.</w:t>
      </w:r>
    </w:p>
    <w:p>
      <w:pPr>
        <w:spacing w:after="80" w:before="200"/>
      </w:pPr>
      <w:r>
        <w:rPr>
          <w:rFonts w:ascii="Arial" w:cs="Arial" w:eastAsia="Arial" w:hAnsi="Arial"/>
          <w:b/>
          <w:bCs/>
          <w:caps/>
          <w:color w:val="C8923A"/>
          <w:sz w:val="19"/>
          <w:szCs w:val="19"/>
        </w:rPr>
        <w:t xml:space="preserve">BLOCK 2 — WHAT DR. ARORA PROVIDES</w:t>
      </w:r>
    </w:p>
    <w:p>
      <w:pPr>
        <w:spacing w:after="80" w:before="260"/>
      </w:pPr>
      <w:r>
        <w:rPr>
          <w:rFonts w:ascii="Arial" w:cs="Arial" w:eastAsia="Arial" w:hAnsi="Arial"/>
          <w:b/>
          <w:bCs/>
          <w:color w:val="111111"/>
          <w:sz w:val="26"/>
          <w:szCs w:val="26"/>
        </w:rPr>
        <w:t xml:space="preserve">What Dr. Arora's Involvement Covers</w:t>
      </w:r>
    </w:p>
    <w:p>
      <w:pPr>
        <w:pStyle w:val="ListParagraph"/>
        <w:numPr>
          <w:ilvl w:val="0"/>
          <w:numId w:val="2"/>
        </w:numPr>
        <w:spacing w:after="60" w:before="60"/>
      </w:pPr>
      <w:r>
        <w:rPr>
          <w:rFonts w:ascii="Arial" w:cs="Arial" w:eastAsia="Arial" w:hAnsi="Arial"/>
          <w:b/>
          <w:bCs/>
          <w:color w:val="111111"/>
          <w:sz w:val="24"/>
          <w:szCs w:val="24"/>
        </w:rPr>
        <w:t xml:space="preserve">Clinical protocols:  </w:t>
      </w:r>
      <w:r>
        <w:rPr>
          <w:rFonts w:ascii="Arial" w:cs="Arial" w:eastAsia="Arial" w:hAnsi="Arial"/>
          <w:color w:val="444444"/>
          <w:sz w:val="24"/>
          <w:szCs w:val="24"/>
        </w:rPr>
        <w:t xml:space="preserve">Physician-backed clinical framework for every therapy offered under the Got Stem Cells? brand.</w:t>
      </w:r>
    </w:p>
    <w:p>
      <w:pPr>
        <w:pStyle w:val="ListParagraph"/>
        <w:numPr>
          <w:ilvl w:val="0"/>
          <w:numId w:val="2"/>
        </w:numPr>
        <w:spacing w:after="60" w:before="60"/>
      </w:pPr>
      <w:r>
        <w:rPr>
          <w:rFonts w:ascii="Arial" w:cs="Arial" w:eastAsia="Arial" w:hAnsi="Arial"/>
          <w:b/>
          <w:bCs/>
          <w:color w:val="111111"/>
          <w:sz w:val="24"/>
          <w:szCs w:val="24"/>
        </w:rPr>
        <w:t xml:space="preserve">Patient education:  </w:t>
      </w:r>
      <w:r>
        <w:rPr>
          <w:rFonts w:ascii="Arial" w:cs="Arial" w:eastAsia="Arial" w:hAnsi="Arial"/>
          <w:color w:val="444444"/>
          <w:sz w:val="24"/>
          <w:szCs w:val="24"/>
        </w:rPr>
        <w:t xml:space="preserve">Patient education standards and credibility framing that make the territory feel medically legitimate before the first consultation.</w:t>
      </w:r>
    </w:p>
    <w:p>
      <w:pPr>
        <w:pStyle w:val="ListParagraph"/>
        <w:numPr>
          <w:ilvl w:val="0"/>
          <w:numId w:val="2"/>
        </w:numPr>
        <w:spacing w:after="60" w:before="60"/>
      </w:pPr>
      <w:r>
        <w:rPr>
          <w:rFonts w:ascii="Arial" w:cs="Arial" w:eastAsia="Arial" w:hAnsi="Arial"/>
          <w:b/>
          <w:bCs/>
          <w:color w:val="111111"/>
          <w:sz w:val="24"/>
          <w:szCs w:val="24"/>
        </w:rPr>
        <w:t xml:space="preserve">50-state coverage:  </w:t>
      </w:r>
      <w:r>
        <w:rPr>
          <w:rFonts w:ascii="Arial" w:cs="Arial" w:eastAsia="Arial" w:hAnsi="Arial"/>
          <w:color w:val="444444"/>
          <w:sz w:val="24"/>
          <w:szCs w:val="24"/>
        </w:rPr>
        <w:t xml:space="preserve">Licensed authority across all 50 states — no geographic limitations for any territory.</w:t>
      </w:r>
    </w:p>
    <w:p>
      <w:pPr>
        <w:pStyle w:val="ListParagraph"/>
        <w:numPr>
          <w:ilvl w:val="0"/>
          <w:numId w:val="2"/>
        </w:numPr>
        <w:spacing w:after="60" w:before="60"/>
      </w:pPr>
      <w:r>
        <w:rPr>
          <w:rFonts w:ascii="Arial" w:cs="Arial" w:eastAsia="Arial" w:hAnsi="Arial"/>
          <w:b/>
          <w:bCs/>
          <w:color w:val="111111"/>
          <w:sz w:val="24"/>
          <w:szCs w:val="24"/>
        </w:rPr>
        <w:t xml:space="preserve">Regulatory structure:  </w:t>
      </w:r>
      <w:r>
        <w:rPr>
          <w:rFonts w:ascii="Arial" w:cs="Arial" w:eastAsia="Arial" w:hAnsi="Arial"/>
          <w:color w:val="444444"/>
          <w:sz w:val="24"/>
          <w:szCs w:val="24"/>
        </w:rPr>
        <w:t xml:space="preserve">Oversight structure that satisfies good-faith exam requirements and HIPAA-conscious clinical workflows.</w:t>
      </w:r>
    </w:p>
    <w:p>
      <w:pPr>
        <w:pStyle w:val="ListParagraph"/>
        <w:numPr>
          <w:ilvl w:val="0"/>
          <w:numId w:val="2"/>
        </w:numPr>
        <w:spacing w:after="60" w:before="60"/>
      </w:pPr>
      <w:r>
        <w:rPr>
          <w:rFonts w:ascii="Arial" w:cs="Arial" w:eastAsia="Arial" w:hAnsi="Arial"/>
          <w:b/>
          <w:bCs/>
          <w:color w:val="111111"/>
          <w:sz w:val="24"/>
          <w:szCs w:val="24"/>
        </w:rPr>
        <w:t xml:space="preserve">Continuous oversight:  </w:t>
      </w:r>
      <w:r>
        <w:rPr>
          <w:rFonts w:ascii="Arial" w:cs="Arial" w:eastAsia="Arial" w:hAnsi="Arial"/>
          <w:color w:val="444444"/>
          <w:sz w:val="24"/>
          <w:szCs w:val="24"/>
        </w:rPr>
        <w:t xml:space="preserve">Ongoing involvement — not a one-time credential. Dr. Arora's oversight evolves with the platform as protocols develop.</w:t>
      </w:r>
    </w:p>
    <w:p>
      <w:pPr>
        <w:pStyle w:val="ListParagraph"/>
        <w:numPr>
          <w:ilvl w:val="0"/>
          <w:numId w:val="2"/>
        </w:numPr>
        <w:spacing w:after="60" w:before="60"/>
      </w:pPr>
      <w:r>
        <w:rPr>
          <w:rFonts w:ascii="Arial" w:cs="Arial" w:eastAsia="Arial" w:hAnsi="Arial"/>
          <w:b/>
          <w:bCs/>
          <w:color w:val="111111"/>
          <w:sz w:val="24"/>
          <w:szCs w:val="24"/>
        </w:rPr>
        <w:t xml:space="preserve">Included at no cost:  </w:t>
      </w:r>
      <w:r>
        <w:rPr>
          <w:rFonts w:ascii="Arial" w:cs="Arial" w:eastAsia="Arial" w:hAnsi="Arial"/>
          <w:color w:val="444444"/>
          <w:sz w:val="24"/>
          <w:szCs w:val="24"/>
        </w:rPr>
        <w:t xml:space="preserve">Zero additional cost to the operator. No separate contract. No annual retainer. No sourcing required.</w:t>
      </w:r>
    </w:p>
    <w:p>
      <w:pPr>
        <w:spacing w:after="80" w:before="200"/>
      </w:pPr>
      <w:r>
        <w:rPr>
          <w:rFonts w:ascii="Arial" w:cs="Arial" w:eastAsia="Arial" w:hAnsi="Arial"/>
          <w:b/>
          <w:bCs/>
          <w:caps/>
          <w:color w:val="C8923A"/>
          <w:sz w:val="19"/>
          <w:szCs w:val="19"/>
        </w:rPr>
        <w:t xml:space="preserve">BLOCK 3 — FINANCIAL ANCHOR</w:t>
      </w:r>
    </w:p>
    <w:p>
      <w:pPr>
        <w:spacing w:after="80" w:before="260"/>
      </w:pPr>
      <w:r>
        <w:rPr>
          <w:rFonts w:ascii="Arial" w:cs="Arial" w:eastAsia="Arial" w:hAnsi="Arial"/>
          <w:b/>
          <w:bCs/>
          <w:color w:val="111111"/>
          <w:sz w:val="26"/>
          <w:szCs w:val="26"/>
        </w:rPr>
        <w:t xml:space="preserve">What This Is Worth</w:t>
      </w:r>
    </w:p>
    <w:p>
      <w:pPr>
        <w:spacing w:after="140" w:before="60"/>
      </w:pPr>
      <w:r>
        <w:rPr>
          <w:rFonts w:ascii="Arial" w:cs="Arial" w:eastAsia="Arial" w:hAnsi="Arial"/>
          <w:color w:val="444444"/>
          <w:sz w:val="24"/>
          <w:szCs w:val="24"/>
        </w:rPr>
        <w:t xml:space="preserve">For context: a Board-Certified MD willing to serve as Medical Director for a non-clinical regenerative medicine operation typically charges $5,000–$15,000 per month. That is $60,000–$180,000 per year — before the operator has run a single seminar.</w:t>
      </w:r>
    </w:p>
    <w:p>
      <w:pPr>
        <w:spacing w:after="140" w:before="60"/>
      </w:pPr>
      <w:r>
        <w:rPr>
          <w:rFonts w:ascii="Arial" w:cs="Arial" w:eastAsia="Arial" w:hAnsi="Arial"/>
          <w:color w:val="444444"/>
          <w:sz w:val="24"/>
          <w:szCs w:val="24"/>
        </w:rPr>
        <w:t xml:space="preserve">The Got Stem Cells? territory license includes Dr. Arora's full oversight at no additional cost. That single component represents more annual value than the founding license fee itself.</w:t>
      </w:r>
    </w:p>
    <w:p>
      <w:pPr>
        <w:spacing w:after="40" w:before="160"/>
      </w:pPr>
      <w:r>
        <w:rPr>
          <w:rFonts w:ascii="Arial" w:cs="Arial" w:eastAsia="Arial" w:hAnsi="Arial"/>
          <w:b/>
          <w:bCs/>
          <w:color w:val="C8923A"/>
          <w:sz w:val="44"/>
          <w:szCs w:val="44"/>
        </w:rPr>
        <w:t xml:space="preserve">$60K–$180K</w:t>
      </w:r>
    </w:p>
    <w:p>
      <w:pPr>
        <w:spacing w:after="160" w:before="0"/>
      </w:pPr>
      <w:r>
        <w:rPr>
          <w:rFonts w:ascii="Arial" w:cs="Arial" w:eastAsia="Arial" w:hAnsi="Arial"/>
          <w:color w:val="777777"/>
          <w:sz w:val="22"/>
          <w:szCs w:val="22"/>
        </w:rPr>
        <w:t xml:space="preserve">Per year — market rate for comparable MD oversight. Included in every territory.</w:t>
      </w:r>
    </w:p>
    <w:p>
      <w:pPr>
        <w:spacing w:after="80" w:before="200"/>
      </w:pPr>
      <w:r>
        <w:rPr>
          <w:rFonts w:ascii="Arial" w:cs="Arial" w:eastAsia="Arial" w:hAnsi="Arial"/>
          <w:b/>
          <w:bCs/>
          <w:caps/>
          <w:color w:val="C8923A"/>
          <w:sz w:val="19"/>
          <w:szCs w:val="19"/>
        </w:rPr>
        <w:t xml:space="preserve">BLOCK 4 — WHAT THIS MEANS FOR THE OPERATOR</w:t>
      </w:r>
    </w:p>
    <w:p>
      <w:pPr>
        <w:spacing w:after="80" w:before="260"/>
      </w:pPr>
      <w:r>
        <w:rPr>
          <w:rFonts w:ascii="Arial" w:cs="Arial" w:eastAsia="Arial" w:hAnsi="Arial"/>
          <w:b/>
          <w:bCs/>
          <w:color w:val="111111"/>
          <w:sz w:val="26"/>
          <w:szCs w:val="26"/>
        </w:rPr>
        <w:t xml:space="preserve">What This Means in Practice</w:t>
      </w:r>
    </w:p>
    <w:p>
      <w:pPr>
        <w:spacing w:after="140" w:before="60"/>
      </w:pPr>
      <w:r>
        <w:rPr>
          <w:rFonts w:ascii="Arial" w:cs="Arial" w:eastAsia="Arial" w:hAnsi="Arial"/>
          <w:color w:val="444444"/>
          <w:sz w:val="24"/>
          <w:szCs w:val="24"/>
        </w:rPr>
        <w:t xml:space="preserve">You can open your territory, fill a dinner seminar room, and close high-value consultations — without a medical degree, without paying for a Medical Director, and without spending 12–18 months building clinical credibility from scratch.</w:t>
      </w:r>
    </w:p>
    <w:p>
      <w:pPr>
        <w:spacing w:after="140" w:before="60"/>
      </w:pPr>
      <w:r>
        <w:rPr>
          <w:rFonts w:ascii="Arial" w:cs="Arial" w:eastAsia="Arial" w:hAnsi="Arial"/>
          <w:color w:val="444444"/>
          <w:sz w:val="24"/>
          <w:szCs w:val="24"/>
        </w:rPr>
        <w:t xml:space="preserve">Dr. Arora's framework, education assets, and oversight structure give your territory the clinical authority patients need to feel confident booking. When a prospect asks 'is this medically legitimate?' — the answer is yes, and it's backed by a Board-Certified MD licensed in their state.</w:t>
      </w:r>
    </w:p>
    <w:p>
      <w:pPr>
        <w:spacing w:after="80" w:before="200"/>
      </w:pPr>
      <w:r>
        <w:rPr>
          <w:rFonts w:ascii="Arial" w:cs="Arial" w:eastAsia="Arial" w:hAnsi="Arial"/>
          <w:b/>
          <w:bCs/>
          <w:caps/>
          <w:color w:val="C8923A"/>
          <w:sz w:val="19"/>
          <w:szCs w:val="19"/>
        </w:rPr>
        <w:t xml:space="preserve">BLOCK 5 — DR. ARORA CREDENTIAL DISPLAY</w:t>
      </w:r>
    </w:p>
    <w:p>
      <w:pPr>
        <w:spacing w:after="80" w:before="160"/>
      </w:pPr>
      <w:r>
        <w:rPr>
          <w:rFonts w:ascii="Arial" w:cs="Arial" w:eastAsia="Arial" w:hAnsi="Arial"/>
          <w:b/>
          <w:bCs/>
          <w:color w:val="111111"/>
          <w:sz w:val="26"/>
          <w:szCs w:val="26"/>
        </w:rPr>
        <w:t xml:space="preserve">Board-Certified MD  </w:t>
      </w:r>
      <w:r>
        <w:rPr>
          <w:rFonts w:ascii="Arial" w:cs="Arial" w:eastAsia="Arial" w:hAnsi="Arial"/>
          <w:color w:val="444444"/>
          <w:sz w:val="22"/>
          <w:szCs w:val="22"/>
        </w:rPr>
        <w:t xml:space="preserve">Full clinical credentials and licensed authority.</w:t>
      </w:r>
    </w:p>
    <w:p>
      <w:pPr>
        <w:spacing w:after="80" w:before="60"/>
      </w:pPr>
      <w:r>
        <w:rPr>
          <w:rFonts w:ascii="Arial" w:cs="Arial" w:eastAsia="Arial" w:hAnsi="Arial"/>
          <w:b/>
          <w:bCs/>
          <w:color w:val="111111"/>
          <w:sz w:val="26"/>
          <w:szCs w:val="26"/>
        </w:rPr>
        <w:t xml:space="preserve">All 50 States  </w:t>
      </w:r>
      <w:r>
        <w:rPr>
          <w:rFonts w:ascii="Arial" w:cs="Arial" w:eastAsia="Arial" w:hAnsi="Arial"/>
          <w:color w:val="444444"/>
          <w:sz w:val="22"/>
          <w:szCs w:val="22"/>
        </w:rPr>
        <w:t xml:space="preserve">Active licensure in every U.S. market.</w:t>
      </w:r>
    </w:p>
    <w:p>
      <w:pPr>
        <w:spacing w:after="80" w:before="60"/>
      </w:pPr>
      <w:r>
        <w:rPr>
          <w:rFonts w:ascii="Arial" w:cs="Arial" w:eastAsia="Arial" w:hAnsi="Arial"/>
          <w:b/>
          <w:bCs/>
          <w:color w:val="C8923A"/>
          <w:sz w:val="26"/>
          <w:szCs w:val="26"/>
        </w:rPr>
        <w:t xml:space="preserve">$0 Additional Cost  </w:t>
      </w:r>
      <w:r>
        <w:rPr>
          <w:rFonts w:ascii="Arial" w:cs="Arial" w:eastAsia="Arial" w:hAnsi="Arial"/>
          <w:color w:val="444444"/>
          <w:sz w:val="22"/>
          <w:szCs w:val="22"/>
        </w:rPr>
        <w:t xml:space="preserve">No separate contract, retainer, or sourcing required.</w:t>
      </w:r>
    </w:p>
    <w:p>
      <w:pPr>
        <w:spacing w:after="160" w:before="60"/>
      </w:pPr>
      <w:r>
        <w:rPr>
          <w:rFonts w:ascii="Arial" w:cs="Arial" w:eastAsia="Arial" w:hAnsi="Arial"/>
          <w:b/>
          <w:bCs/>
          <w:color w:val="111111"/>
          <w:sz w:val="26"/>
          <w:szCs w:val="26"/>
        </w:rPr>
        <w:t xml:space="preserve">Continuous Oversight  </w:t>
      </w:r>
      <w:r>
        <w:rPr>
          <w:rFonts w:ascii="Arial" w:cs="Arial" w:eastAsia="Arial" w:hAnsi="Arial"/>
          <w:color w:val="444444"/>
          <w:sz w:val="22"/>
          <w:szCs w:val="22"/>
        </w:rPr>
        <w:t xml:space="preserve">Not a one-time credential — ongoing and evolving.</w:t>
      </w:r>
    </w:p>
    <w:p>
      <w:pPr>
        <w:pBdr>
          <w:left w:val="single" w:color="C8923A" w:sz="18" w:space="8"/>
        </w:pBdr>
        <w:shd w:fill="FFF8EE" w:val="clear"/>
        <w:spacing w:after="80" w:before="80"/>
        <w:ind w:left="360"/>
      </w:pPr>
      <w:r>
        <w:rPr>
          <w:rFonts w:ascii="Arial" w:cs="Arial" w:eastAsia="Arial" w:hAnsi="Arial"/>
          <w:i/>
          <w:iCs/>
          <w:color w:val="C8923A"/>
          <w:sz w:val="20"/>
          <w:szCs w:val="20"/>
        </w:rPr>
        <w:t xml:space="preserve">✎  COPY NOTE: Dr. Arora's section should be tight and credential-forward. The copy above is complete. Avoid adding warmth or story — his section works best when it feels clinical and factual. The financial anchor is the emotional close here, not a personal story.</w:t>
      </w:r>
    </w:p>
    <w:p>
      <w:pPr>
        <w:pBdr>
          <w:bottom w:val="single" w:color="C8923A" w:sz="6" w:space="1"/>
        </w:pBdr>
        <w:spacing w:after="400" w:before="400"/>
      </w:pPr>
    </w:p>
    <w:p>
      <w:pPr>
        <w:spacing w:after="120" w:before="560"/>
      </w:pPr>
      <w:r>
        <w:rPr>
          <w:rFonts w:ascii="Arial" w:cs="Arial" w:eastAsia="Arial" w:hAnsi="Arial"/>
          <w:b/>
          <w:bCs/>
          <w:color w:val="C8923A"/>
          <w:sz w:val="18"/>
          <w:szCs w:val="18"/>
        </w:rPr>
        <w:t xml:space="preserve">OPEN QUESTIONS — DECISIONS NEEDED BEFORE HTML BUILD</w:t>
      </w:r>
    </w:p>
    <w:p>
      <w:pPr>
        <w:pStyle w:val="Heading2"/>
        <w:spacing w:after="200" w:before="80"/>
      </w:pPr>
      <w:r>
        <w:rPr>
          <w:rFonts w:ascii="Arial" w:cs="Arial" w:eastAsia="Arial" w:hAnsi="Arial"/>
          <w:b/>
          <w:bCs/>
          <w:color w:val="111111"/>
          <w:sz w:val="40"/>
          <w:szCs w:val="40"/>
        </w:rPr>
        <w:t xml:space="preserve">ITEMS TO CONFIRM BEFORE IMPLEMENTATION</w:t>
      </w:r>
    </w:p>
    <w:p>
      <w:pPr>
        <w:pBdr>
          <w:left w:val="single" w:color="C8923A" w:sz="18" w:space="8"/>
        </w:pBdr>
        <w:shd w:fill="FFF8EE" w:val="clear"/>
        <w:spacing w:after="80" w:before="80"/>
        <w:ind w:left="360"/>
      </w:pPr>
      <w:r>
        <w:rPr>
          <w:rFonts w:ascii="Arial" w:cs="Arial" w:eastAsia="Arial" w:hAnsi="Arial"/>
          <w:i/>
          <w:iCs/>
          <w:color w:val="C8923A"/>
          <w:sz w:val="20"/>
          <w:szCs w:val="20"/>
        </w:rPr>
        <w:t xml:space="preserve">✎  COPY NOTE: These questions need answers before any copy goes into the HTML. Flag them for review with Seth.</w:t>
      </w:r>
    </w:p>
    <w:p>
      <w:pPr>
        <w:pStyle w:val="Heading3"/>
        <w:spacing w:after="100" w:before="320"/>
      </w:pPr>
      <w:r>
        <w:rPr>
          <w:rFonts w:ascii="Arial" w:cs="Arial" w:eastAsia="Arial" w:hAnsi="Arial"/>
          <w:b/>
          <w:bCs/>
          <w:color w:val="111111"/>
          <w:sz w:val="30"/>
          <w:szCs w:val="30"/>
        </w:rPr>
        <w:t xml:space="preserve">Content confirmations</w:t>
      </w:r>
    </w:p>
    <w:p>
      <w:pPr>
        <w:pStyle w:val="ListParagraph"/>
        <w:numPr>
          <w:ilvl w:val="0"/>
          <w:numId w:val="2"/>
        </w:numPr>
        <w:spacing w:after="60" w:before="60"/>
      </w:pPr>
      <w:r>
        <w:rPr>
          <w:rFonts w:ascii="Arial" w:cs="Arial" w:eastAsia="Arial" w:hAnsi="Arial"/>
          <w:color w:val="444444"/>
          <w:sz w:val="24"/>
          <w:szCs w:val="24"/>
        </w:rPr>
        <w:t xml:space="preserve">Is the '4 companies built' stat accurate? (Precision Biologics, Regenerative Revival, Amplified Wellness, Got Stem Cells?)</w:t>
      </w:r>
    </w:p>
    <w:p>
      <w:pPr>
        <w:pStyle w:val="ListParagraph"/>
        <w:numPr>
          <w:ilvl w:val="0"/>
          <w:numId w:val="2"/>
        </w:numPr>
        <w:spacing w:after="60" w:before="60"/>
      </w:pPr>
      <w:r>
        <w:rPr>
          <w:rFonts w:ascii="Arial" w:cs="Arial" w:eastAsia="Arial" w:hAnsi="Arial"/>
          <w:color w:val="444444"/>
          <w:sz w:val="24"/>
          <w:szCs w:val="24"/>
        </w:rPr>
        <w:t xml:space="preserve">What is the exact number of clinics powered — '100+' or a more specific number?</w:t>
      </w:r>
    </w:p>
    <w:p>
      <w:pPr>
        <w:pStyle w:val="ListParagraph"/>
        <w:numPr>
          <w:ilvl w:val="0"/>
          <w:numId w:val="2"/>
        </w:numPr>
        <w:spacing w:after="60" w:before="60"/>
      </w:pPr>
      <w:r>
        <w:rPr>
          <w:rFonts w:ascii="Arial" w:cs="Arial" w:eastAsia="Arial" w:hAnsi="Arial"/>
          <w:color w:val="444444"/>
          <w:sz w:val="24"/>
          <w:szCs w:val="24"/>
        </w:rPr>
        <w:t xml:space="preserve">Is $100M+ the right combined revenue figure, or is $98M+ (used in old version) more accurate?</w:t>
      </w:r>
    </w:p>
    <w:p>
      <w:pPr>
        <w:pStyle w:val="ListParagraph"/>
        <w:numPr>
          <w:ilvl w:val="0"/>
          <w:numId w:val="2"/>
        </w:numPr>
        <w:spacing w:after="60" w:before="60"/>
      </w:pPr>
      <w:r>
        <w:rPr>
          <w:rFonts w:ascii="Arial" w:cs="Arial" w:eastAsia="Arial" w:hAnsi="Arial"/>
          <w:color w:val="444444"/>
          <w:sz w:val="24"/>
          <w:szCs w:val="24"/>
        </w:rPr>
        <w:t xml:space="preserve">Does the stem cell preferred pricing system (Card 08) apply from day one of licensing?</w:t>
      </w:r>
    </w:p>
    <w:p>
      <w:pPr>
        <w:pStyle w:val="ListParagraph"/>
        <w:numPr>
          <w:ilvl w:val="0"/>
          <w:numId w:val="2"/>
        </w:numPr>
        <w:spacing w:after="60" w:before="60"/>
      </w:pPr>
      <w:r>
        <w:rPr>
          <w:rFonts w:ascii="Arial" w:cs="Arial" w:eastAsia="Arial" w:hAnsi="Arial"/>
          <w:color w:val="444444"/>
          <w:sz w:val="24"/>
          <w:szCs w:val="24"/>
        </w:rPr>
        <w:t xml:space="preserve">Is the operator community (Card 10) a real deliverable? If so, what format — portal, Slack, quarterly calls?</w:t>
      </w:r>
    </w:p>
    <w:p>
      <w:pPr>
        <w:pStyle w:val="ListParagraph"/>
        <w:numPr>
          <w:ilvl w:val="0"/>
          <w:numId w:val="2"/>
        </w:numPr>
        <w:spacing w:after="60" w:before="60"/>
      </w:pPr>
      <w:r>
        <w:rPr>
          <w:rFonts w:ascii="Arial" w:cs="Arial" w:eastAsia="Arial" w:hAnsi="Arial"/>
          <w:color w:val="444444"/>
          <w:sz w:val="24"/>
          <w:szCs w:val="24"/>
        </w:rPr>
        <w:t xml:space="preserve">What exactly is included in 'launch support' — first event only, first 3 events, or ongoing?</w:t>
      </w:r>
    </w:p>
    <w:p>
      <w:pPr>
        <w:pStyle w:val="ListParagraph"/>
        <w:numPr>
          <w:ilvl w:val="0"/>
          <w:numId w:val="2"/>
        </w:numPr>
        <w:spacing w:after="60" w:before="60"/>
      </w:pPr>
      <w:r>
        <w:rPr>
          <w:rFonts w:ascii="Arial" w:cs="Arial" w:eastAsia="Arial" w:hAnsi="Arial"/>
          <w:color w:val="444444"/>
          <w:sz w:val="24"/>
          <w:szCs w:val="24"/>
        </w:rPr>
        <w:t xml:space="preserve">Does Dr. Arora have a direct involvement model (calls, reviews) or is it primarily protocol/oversight?</w:t>
      </w:r>
    </w:p>
    <w:p>
      <w:pPr>
        <w:pStyle w:val="Heading3"/>
        <w:spacing w:after="100" w:before="320"/>
      </w:pPr>
      <w:r>
        <w:rPr>
          <w:rFonts w:ascii="Arial" w:cs="Arial" w:eastAsia="Arial" w:hAnsi="Arial"/>
          <w:b/>
          <w:bCs/>
          <w:color w:val="111111"/>
          <w:sz w:val="30"/>
          <w:szCs w:val="30"/>
        </w:rPr>
        <w:t xml:space="preserve">Creative production</w:t>
      </w:r>
    </w:p>
    <w:p>
      <w:pPr>
        <w:pStyle w:val="ListParagraph"/>
        <w:numPr>
          <w:ilvl w:val="0"/>
          <w:numId w:val="2"/>
        </w:numPr>
        <w:spacing w:after="60" w:before="60"/>
      </w:pPr>
      <w:r>
        <w:rPr>
          <w:rFonts w:ascii="Arial" w:cs="Arial" w:eastAsia="Arial" w:hAnsi="Arial"/>
          <w:color w:val="444444"/>
          <w:sz w:val="24"/>
          <w:szCs w:val="24"/>
        </w:rPr>
        <w:t xml:space="preserve">Seth founder video — does it exist or needs to be filmed? (Strongly recommended for this section)</w:t>
      </w:r>
    </w:p>
    <w:p>
      <w:pPr>
        <w:pStyle w:val="ListParagraph"/>
        <w:numPr>
          <w:ilvl w:val="0"/>
          <w:numId w:val="2"/>
        </w:numPr>
        <w:spacing w:after="60" w:before="60"/>
      </w:pPr>
      <w:r>
        <w:rPr>
          <w:rFonts w:ascii="Arial" w:cs="Arial" w:eastAsia="Arial" w:hAnsi="Arial"/>
          <w:color w:val="444444"/>
          <w:sz w:val="24"/>
          <w:szCs w:val="24"/>
        </w:rPr>
        <w:t xml:space="preserve">Dr. Arora headshot and credential display — confirm approved photo for use on page</w:t>
      </w:r>
    </w:p>
    <w:p>
      <w:pPr>
        <w:pStyle w:val="ListParagraph"/>
        <w:numPr>
          <w:ilvl w:val="0"/>
          <w:numId w:val="2"/>
        </w:numPr>
        <w:spacing w:after="60" w:before="60"/>
      </w:pPr>
      <w:r>
        <w:rPr>
          <w:rFonts w:ascii="Arial" w:cs="Arial" w:eastAsia="Arial" w:hAnsi="Arial"/>
          <w:color w:val="444444"/>
          <w:sz w:val="24"/>
          <w:szCs w:val="24"/>
        </w:rPr>
        <w:t xml:space="preserve">Should Dr. Arora have a video element too, or keep his section copy-only?</w:t>
      </w:r>
    </w:p>
    <w:p>
      <w:pPr>
        <w:pStyle w:val="Heading3"/>
        <w:spacing w:after="100" w:before="320"/>
      </w:pPr>
      <w:r>
        <w:rPr>
          <w:rFonts w:ascii="Arial" w:cs="Arial" w:eastAsia="Arial" w:hAnsi="Arial"/>
          <w:b/>
          <w:bCs/>
          <w:color w:val="111111"/>
          <w:sz w:val="30"/>
          <w:szCs w:val="30"/>
        </w:rPr>
        <w:t xml:space="preserve">Copy decisions</w:t>
      </w:r>
    </w:p>
    <w:p>
      <w:pPr>
        <w:pStyle w:val="ListParagraph"/>
        <w:numPr>
          <w:ilvl w:val="0"/>
          <w:numId w:val="2"/>
        </w:numPr>
        <w:spacing w:after="60" w:before="60"/>
      </w:pPr>
      <w:r>
        <w:rPr>
          <w:rFonts w:ascii="Arial" w:cs="Arial" w:eastAsia="Arial" w:hAnsi="Arial"/>
          <w:color w:val="444444"/>
          <w:sz w:val="24"/>
          <w:szCs w:val="24"/>
        </w:rPr>
        <w:t xml:space="preserve">Which headline variant do you prefer for each section? (Options 1/2/3 given for each)</w:t>
      </w:r>
    </w:p>
    <w:p>
      <w:pPr>
        <w:pStyle w:val="ListParagraph"/>
        <w:numPr>
          <w:ilvl w:val="0"/>
          <w:numId w:val="2"/>
        </w:numPr>
        <w:spacing w:after="60" w:before="60"/>
      </w:pPr>
      <w:r>
        <w:rPr>
          <w:rFonts w:ascii="Arial" w:cs="Arial" w:eastAsia="Arial" w:hAnsi="Arial"/>
          <w:color w:val="444444"/>
          <w:sz w:val="24"/>
          <w:szCs w:val="24"/>
        </w:rPr>
        <w:t xml:space="preserve">Confirm system card count — keep at 10, trim back to 8, or add more?</w:t>
      </w:r>
    </w:p>
    <w:p>
      <w:pPr>
        <w:pStyle w:val="ListParagraph"/>
        <w:numPr>
          <w:ilvl w:val="0"/>
          <w:numId w:val="2"/>
        </w:numPr>
        <w:spacing w:after="60" w:before="60"/>
      </w:pPr>
      <w:r>
        <w:rPr>
          <w:rFonts w:ascii="Arial" w:cs="Arial" w:eastAsia="Arial" w:hAnsi="Arial"/>
          <w:color w:val="444444"/>
          <w:sz w:val="24"/>
          <w:szCs w:val="24"/>
        </w:rPr>
        <w:t xml:space="preserve">Is the WIIFM bridge block (Seth + Arora recap before cards) the right approach, or do you want a different format?</w:t>
      </w:r>
    </w:p>
    <w:p>
      <w:pPr>
        <w:spacing w:after="0" w:before="600"/>
      </w:pPr>
      <w:r>
        <w:rPr>
          <w:rFonts w:ascii="Arial" w:cs="Arial" w:eastAsia="Arial" w:hAnsi="Arial"/>
          <w:b/>
          <w:bCs/>
          <w:color w:val="AAAAAA"/>
          <w:sz w:val="20"/>
          <w:szCs w:val="20"/>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11111"/>
      <w:sz w:val="56"/>
      <w:szCs w:val="56"/>
    </w:rPr>
  </w:style>
  <w:style w:type="paragraph" w:styleId="Heading2">
    <w:name w:val="Heading 2"/>
    <w:basedOn w:val="Normal"/>
    <w:next w:val="Normal"/>
    <w:qFormat/>
    <w:pPr>
      <w:spacing w:after="200" w:before="80"/>
      <w:outlineLvl w:val="1"/>
    </w:pPr>
    <w:rPr>
      <w:rFonts w:ascii="Arial" w:cs="Arial" w:eastAsia="Arial" w:hAnsi="Arial"/>
      <w:b/>
      <w:bCs/>
      <w:color w:val="111111"/>
      <w:sz w:val="40"/>
      <w:szCs w:val="40"/>
    </w:rPr>
  </w:style>
  <w:style w:type="paragraph" w:styleId="Heading3">
    <w:name w:val="Heading 3"/>
    <w:basedOn w:val="Normal"/>
    <w:next w:val="Normal"/>
    <w:qFormat/>
    <w:pPr>
      <w:spacing w:after="100" w:before="320"/>
      <w:outlineLvl w:val="2"/>
    </w:pPr>
    <w:rPr>
      <w:rFonts w:ascii="Arial" w:cs="Arial" w:eastAsia="Arial" w:hAnsi="Arial"/>
      <w:b/>
      <w:bCs/>
      <w:color w:val="111111"/>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2026-05-31T19:40:07.896Z</dcterms:created>
  <dcterms:modified xsi:type="dcterms:W3CDTF">2026-05-31T19:40:07.909Z</dcterms:modified>
</cp:coreProperties>
</file>

<file path=docProps/custom.xml><?xml version="1.0" encoding="utf-8"?>
<Properties xmlns="http://schemas.openxmlformats.org/officeDocument/2006/custom-properties" xmlns:vt="http://schemas.openxmlformats.org/officeDocument/2006/docPropsVTypes"/>
</file>