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Meta-Validation — Chemical Reasoning &amp; the Interpretation Module Across 5 Runs</w:t>
      </w:r>
    </w:p>
    <w:p>
      <w:pPr>
        <w:pBdr>
          <w:bottom w:val="single" w:color="2E75B6" w:sz="8" w:space="2"/>
        </w:pBdr>
        <w:spacing w:after="30"/>
      </w:pPr>
      <w:r>
        <w:rPr>
          <w:i/>
          <w:iCs/>
          <w:color w:val="595959"/>
          <w:sz w:val="20"/>
          <w:szCs w:val="20"/>
        </w:rPr>
        <w:t xml:space="preserve">MoleGuLAR + SSINet on TTBK1 (PDB 4BTK) · weighted-sum vs alternating rewards (freq 35; freq 15 ×3)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Chemist-in-the-loop critical validation. Builds on — and does not repeat — the three prior </w:t>
      </w:r>
      <w:r>
        <w:rPr>
          <w:i/>
          <w:iCs/>
          <w:color w:val="595959"/>
          <w:sz w:val="18"/>
          <w:szCs w:val="18"/>
        </w:rPr>
        <w:t xml:space="preserve">Chemist_Report</w:t>
      </w:r>
      <w:r>
        <w:rPr>
          <w:color w:val="595959"/>
          <w:sz w:val="18"/>
          <w:szCs w:val="18"/>
        </w:rPr>
        <w:t xml:space="preserve"> files. Focus: reasoning validation, cross-config patterns, and whether the interpreter can be trusted. 1 June 2026.</w:t>
      </w:r>
    </w:p>
    <w:p>
      <w:pPr>
        <w:pStyle w:val="Heading1"/>
      </w:pPr>
      <w:r>
        <w:t xml:space="preserve">0 · Read this first — what the 5 “runs” really are</w:t>
      </w:r>
    </w:p>
    <w:p>
      <w:pPr>
        <w:spacing w:after="120"/>
      </w:pPr>
      <w:r>
        <w:t xml:space="preserve">Before any chemistry: I hashed every artefact. The folder layout does </w:t>
      </w:r>
      <w:r>
        <w:rPr>
          <w:b/>
          <w:bCs/>
        </w:rPr>
        <w:t xml:space="preserve">not</w:t>
      </w:r>
      <w:r>
        <w:t xml:space="preserve"> correspond to five independent experiments, and this changes which claims are defensible.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6500" w:sz="2"/>
              <w:left w:val="single" w:color="9C6500" w:sz="24"/>
              <w:bottom w:val="single" w:color="9C6500" w:sz="2"/>
              <w:right w:val="single" w:color="9C6500" w:sz="2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9C6500"/>
              </w:rPr>
              <w:t xml:space="preserve">The three “AR15 runs” are one RL run.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Identical molecules &amp; trajectory: </w:t>
            </w:r>
            <w:r>
              <w:t xml:space="preserve">the generated-molecule CSV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md5 bef965…</w:t>
            </w:r>
            <w:r>
              <w:t xml:space="preserve">) and the BA-trajectory log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d87805…</w:t>
            </w:r>
            <w:r>
              <w:t xml:space="preserve">) are </w:t>
            </w:r>
            <w:r>
              <w:rPr>
                <w:b/>
                <w:bCs/>
              </w:rPr>
              <w:t xml:space="preserve">byte-identical</w:t>
            </w:r>
            <w:r>
              <w:t xml:space="preserve"> across all three AR15 folders.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_15_old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_15</w:t>
            </w:r>
            <w:r>
              <w:t xml:space="preserve"> are exact duplicates (every PNG matches too).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Only the interpreter differs: </w:t>
            </w:r>
            <w:r>
              <w:t xml:space="preserve">the newest folder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alternate_rewards/</w:t>
            </w:r>
            <w:r>
              <w:t xml:space="preserve">) reuses those same molecules but </w:t>
            </w:r>
            <w:r>
              <w:rPr>
                <w:b/>
                <w:bCs/>
              </w:rPr>
              <w:t xml:space="preserve">re-trained the SSINet</w:t>
            </w:r>
            <w:r>
              <w:t xml:space="preserve"> (different mask-model hash) and added the α-sweep.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AR15 and AR35 share a seed: </w:t>
            </w:r>
            <w:r>
              <w:t xml:space="preserve">their BA logs are identical for exactly the first 15 iterations, then diverge precisely at AR15’s first reward switch. A </w:t>
            </w:r>
            <w:r>
              <w:rPr>
                <w:b/>
                <w:bCs/>
              </w:rPr>
              <w:t xml:space="preserve">clean controlled contrast of switch-frequency</w:t>
            </w:r>
            <w:r>
              <w:t xml:space="preserve"> — but it means no configuration has independent replicates.</w:t>
            </w:r>
          </w:p>
        </w:tc>
      </w:tr>
    </w:tbl>
    <w:p>
      <w:pPr>
        <w:spacing w:after="120"/>
      </w:pPr>
      <w:r>
        <w:rPr>
          <w:b/>
          <w:bCs/>
          <w:color w:val="C0392B"/>
        </w:rPr>
        <w:t xml:space="preserve">Consequence for the meta-analysis: </w:t>
      </w:r>
      <w:r>
        <w:t xml:space="preserve">there is </w:t>
      </w:r>
      <w:r>
        <w:rPr>
          <w:b/>
          <w:bCs/>
        </w:rPr>
        <w:t xml:space="preserve">no within-config variance</w:t>
      </w:r>
      <w:r>
        <w:t xml:space="preserve"> to report at the RL level (one run each for WS / AR35 / AR15). What the “three AR15 folders” genuinely test is the </w:t>
      </w:r>
      <w:r>
        <w:rPr>
          <w:b/>
          <w:bCs/>
        </w:rPr>
        <w:t xml:space="preserve">reproducibility and robustness of the interpretation module itself</w:t>
      </w:r>
      <w:r>
        <w:t xml:space="preserve"> — re-trained on a fixed molecule set, and swept over its sparsity hyper-parameter. That is the lens I use in §4.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300"/>
        <w:gridCol w:w="2300"/>
        <w:gridCol w:w="2300"/>
      </w:tblGrid>
      <w:tr>
        <w:trPr>
          <w:tblHeader/>
        </w:trP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Reward config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RL content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Interpreter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weighted_sum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Σ all rewards (no switch)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unique run — but molecule CSV is absent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warm-start SSINet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alternate_rewards_35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switch / 35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unique run (shares seed w/ AR15)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warm-start SSINet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alternate_rewards_15_old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switch / 15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AR15 run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warm-start SSINet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alternate_rewards_15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switch / 15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duplicate of _old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duplicate of _old</w:t>
            </w:r>
          </w:p>
        </w:tc>
      </w:tr>
      <w:tr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alternate_rewards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switch / 15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same AR15 molecules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</w:rPr>
              <w:t xml:space="preserve">re-trained + α-sweep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Provenance established by md5 of CSVs, trajectory logs, model weights and every PNG — not by file size/timestamp (the trap that produced the retracted AR15-vs-AR35 note).</w:t>
      </w:r>
    </w:p>
    <w:p>
      <w:pPr>
        <w:pStyle w:val="Heading1"/>
      </w:pPr>
      <w:r>
        <w:t xml:space="preserve">1 · Verdict in 30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model reasons chemically — when the reward forces it to. </w:t>
      </w:r>
      <w:r>
        <w:t xml:space="preserve">Under alternation it converges on genuine kinase-hinge chemotypes; under weighted-sum it does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Strongest single result: </w:t>
      </w:r>
      <w:r>
        <w:t xml:space="preserve">AR15’s top molecule is a </w:t>
      </w:r>
      <w:r>
        <w:rPr>
          <w:b/>
          <w:bCs/>
        </w:rPr>
        <w:t xml:space="preserve">dihydroquinazoline</w:t>
      </w:r>
      <w:r>
        <w:t xml:space="preserve"> hinge binder — the </w:t>
      </w:r>
      <w:r>
        <w:rPr>
          <w:b/>
          <w:bCs/>
        </w:rPr>
        <w:t xml:space="preserve">same chemotype class co-crystallised inside 4BTK itself</w:t>
      </w:r>
      <w:r>
        <w:t xml:space="preserve"> (the reference TTBK1 inhibitor is an anilino-quinazoline). The model re-derived it from a generic ChEMBL prior.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Weighted-sum is textbook reward hacking. </w:t>
      </w:r>
      <w:r>
        <w:t xml:space="preserve">A poly-benzophenone with no H-bond donor, BA driven by out-of-distribution aromatic surface the GIN never validated. A recognised failure mode of affinity-surrogate RL — not a competing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interpreter is faithful AND reproducible. </w:t>
      </w:r>
      <w:r>
        <w:t xml:space="preserve">The atom-type ranking is stable across two independent SSINet trainings and across a 150× sweep in sparsity α; it tracks the chemistry (sulfur→nitrogen) as the scaffold changes; and it stays diffuse when there is nothing to explain.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9C6500"/>
        </w:rPr>
        <w:t xml:space="preserve">But: </w:t>
      </w:r>
      <w:r>
        <w:t xml:space="preserve">the raw mask is low-magnitude (mean ≈ 0.1, essentially zero atoms exceed 0.5), so its output is </w:t>
      </w:r>
      <w:r>
        <w:rPr>
          <w:b/>
          <w:bCs/>
        </w:rPr>
        <w:t xml:space="preserve">relative emphasis, not hard atom selection</w:t>
      </w:r>
      <w:r>
        <w:t xml:space="preserve"> — and the concurrent-update loss never stabilises because alternation keeps the target distribution moving. Details in §4.</w:t>
      </w:r>
    </w:p>
    <w:p>
      <w:pPr>
        <w:pStyle w:val="Heading1"/>
      </w:pPr>
      <w:r>
        <w:t xml:space="preserve">2 · Did the model reason like a chemist?</w:t>
      </w:r>
    </w:p>
    <w:p>
      <w:pPr>
        <w:spacing w:after="120"/>
      </w:pPr>
      <w:r>
        <w:t xml:space="preserve">Validated against the kinase medicinal-chemistry literature and the 4BTK structure — not against the model’s own reward.</w:t>
      </w:r>
    </w:p>
    <w:p>
      <w:pPr>
        <w:spacing w:after="120"/>
      </w:pPr>
      <w:r>
        <w:rPr>
          <w:b/>
          <w:bCs/>
          <w:color w:val="2E7D32"/>
        </w:rPr>
        <w:t xml:space="preserve">AR35 (switch/35) → one warhead, correctly. </w:t>
      </w:r>
      <w:r>
        <w:t xml:space="preserve">Converges on an </w:t>
      </w:r>
      <w:r>
        <w:rPr>
          <w:b/>
          <w:bCs/>
        </w:rPr>
        <w:t xml:space="preserve">aryl-sulfonyl-arene capped by a primary sulfonamide (—SO₂NH₂)</w:t>
      </w:r>
      <w:r>
        <w:t xml:space="preserve">). Chemically sound: the sulfonamide is a canonical ATP-pocket hinge donor (celecoxib, pazopanib, dasatinib share the trick). The mask localises on exactly those four warhead atoms. </w:t>
      </w:r>
      <w:r>
        <w:rPr>
          <w:b/>
          <w:bCs/>
        </w:rPr>
        <w:t xml:space="preserve">Correct reasoning, but maximalist</w:t>
      </w:r>
      <w:r>
        <w:t xml:space="preserve"> — MW 556, TPSA 148: heavy, non-CNS.</w:t>
      </w:r>
    </w:p>
    <w:p>
      <w:pPr>
        <w:spacing w:after="120"/>
      </w:pPr>
      <w:r>
        <w:rPr>
          <w:b/>
          <w:bCs/>
          <w:color w:val="2E7D32"/>
        </w:rPr>
        <w:t xml:space="preserve">AR15 (switch/15) → a portfolio of real hinge binders. </w:t>
      </w:r>
      <w:r>
        <w:t xml:space="preserve">Six scaffold families, each with a defensible binding rationale: </w:t>
      </w:r>
      <w:r>
        <w:rPr>
          <w:b/>
          <w:bCs/>
        </w:rPr>
        <w:t xml:space="preserve">dihydroquinazoline</w:t>
      </w:r>
      <w:r>
        <w:t xml:space="preserve"> (EGFR/gefitinib hinge motif — and the 4BTK reference ligand class), </w:t>
      </w:r>
      <w:r>
        <w:rPr>
          <w:b/>
          <w:bCs/>
        </w:rPr>
        <w:t xml:space="preserve">phthalazinone</w:t>
      </w:r>
      <w:r>
        <w:t xml:space="preserve"> (olaparib/talazoparib core), </w:t>
      </w:r>
      <w:r>
        <w:rPr>
          <w:b/>
          <w:bCs/>
        </w:rPr>
        <w:t xml:space="preserve">indenone / benzophenone</w:t>
      </w:r>
      <w:r>
        <w:t xml:space="preserve"> carbonyl hinge acceptors, </w:t>
      </w:r>
      <w:r>
        <w:rPr>
          <w:b/>
          <w:bCs/>
        </w:rPr>
        <w:t xml:space="preserve">sulfonyl-piperazine / -morpholine</w:t>
      </w:r>
      <w:r>
        <w:t xml:space="preserve"> solubilising tails. These are not random valid SMILES — they are chemotypes a TTBK1 team would actually draw, recovered in 175 iterations.</w:t>
      </w:r>
    </w:p>
    <w:p>
      <w:pPr>
        <w:spacing w:after="120"/>
      </w:pPr>
      <w:r>
        <w:rPr>
          <w:b/>
          <w:bCs/>
          <w:color w:val="C0392B"/>
        </w:rPr>
        <w:t xml:space="preserve">WS (weighted-sum) → no pharmacophore at all. </w:t>
      </w:r>
      <w:r>
        <w:t xml:space="preserve">A chain of ~7 aromatic ketones: </w:t>
      </w:r>
      <w:r>
        <w:rPr>
          <w:b/>
          <w:bCs/>
        </w:rPr>
        <w:t xml:space="preserve">no nitrogen, no H-bond donor, nothing to contact the hinge</w:t>
      </w:r>
      <w:r>
        <w:t xml:space="preserve">. The “reasoning” is purely surface-area maximisation against an out-of-distribution GIN. The literature names this precisely: affinity surrogates can </w:t>
      </w:r>
      <w:r>
        <w:rPr>
          <w:i/>
          <w:iCs/>
        </w:rPr>
        <w:t xml:space="preserve">“reward nondruggable conformations … molecules that optimise the objective but violate the principles of a drug.”</w:t>
      </w:r>
    </w:p>
    <w:p>
      <w:pPr>
        <w:pStyle w:val="Heading1"/>
      </w:pPr>
      <w:r>
        <w:t xml:space="preserve">3 · Generalised patterns across reward type × frequency</w:t>
      </w:r>
    </w:p>
    <w:p>
      <w:pPr>
        <w:spacing w:after="120"/>
      </w:pPr>
      <w:r>
        <w:rPr>
          <w:b/>
          <w:bCs/>
          <w:color w:val="1F3864"/>
        </w:rPr>
        <w:t xml:space="preserve">Pattern A — Reward TYPE decides whether the chemistry is real. </w:t>
      </w:r>
      <w:r>
        <w:t xml:space="preserve">Alternation is a </w:t>
      </w:r>
      <w:r>
        <w:rPr>
          <w:b/>
          <w:bCs/>
        </w:rPr>
        <w:t xml:space="preserve">regulariser</w:t>
      </w:r>
      <w:r>
        <w:t xml:space="preserve">: periodically removing the BA term forbids the policy from walking off the drug-like manifold. This is the MoleGuLAR thesis itself (“</w:t>
      </w:r>
      <w:r>
        <w:rPr>
          <w:i/>
          <w:iCs/>
        </w:rPr>
        <w:t xml:space="preserve">alternating … shows enhanced ability vs the weighted sum</w:t>
      </w:r>
      <w:r>
        <w:t xml:space="preserve">”), and the data reproduces it. Quantitatively, the BA-vs-iteration correlation is </w:t>
      </w:r>
      <w:r>
        <w:rPr>
          <w:b/>
          <w:bCs/>
        </w:rPr>
        <w:t xml:space="preserve">−0.90 for WS</w:t>
      </w:r>
      <w:r>
        <w:t xml:space="preserve"> (near-linear, unobstructed climb = the hack) versus </w:t>
      </w:r>
      <w:r>
        <w:rPr>
          <w:b/>
          <w:bCs/>
        </w:rPr>
        <w:t xml:space="preserve">−0.30 / −0.25 for AR35 / AR15</w:t>
      </w:r>
      <w:r>
        <w:t xml:space="preserve"> (interrupted).</w:t>
      </w:r>
    </w:p>
    <w:p>
      <w:pPr>
        <w:spacing w:after="120"/>
      </w:pPr>
      <w:r>
        <w:rPr>
          <w:b/>
          <w:bCs/>
          <w:color w:val="1F3864"/>
        </w:rPr>
        <w:t xml:space="preserve">Pattern B — Reward FREQUENCY is an exploration “temperature”. </w:t>
      </w:r>
      <w:r>
        <w:t xml:space="preserve">Long blocks (35) let the policy fully exploit one objective → </w:t>
      </w:r>
      <w:r>
        <w:rPr>
          <w:b/>
          <w:bCs/>
        </w:rPr>
        <w:t xml:space="preserve">one chemotype, deep, heavy</w:t>
      </w:r>
      <w:r>
        <w:t xml:space="preserve">. Short blocks (15) prevent convergence within a block → the policy keeps a memory of all three objectives → </w:t>
      </w:r>
      <w:r>
        <w:rPr>
          <w:b/>
          <w:bCs/>
        </w:rPr>
        <w:t xml:space="preserve">many lead-sized scaffolds</w:t>
      </w:r>
      <w:r>
        <w:t xml:space="preserve">. Crucially, </w:t>
      </w:r>
      <w:r>
        <w:rPr>
          <w:b/>
          <w:bCs/>
        </w:rPr>
        <w:t xml:space="preserve">best-BA is identical (−7.96 in both)</w:t>
      </w:r>
      <w:r>
        <w:t xml:space="preserve"> — frequency trades breadth for nothing in asymptotic affinity. Verified: AR15 top-10 MW 374 / QED 0.62 / 9-of-10 Lipinski vs AR35 556 / 0.38 / 5-of-10.</w:t>
      </w:r>
    </w:p>
    <w:p>
      <w:pPr>
        <w:spacing w:after="120"/>
      </w:pPr>
      <w:r>
        <w:rPr>
          <w:b/>
          <w:bCs/>
          <w:color w:val="1F3864"/>
        </w:rPr>
        <w:t xml:space="preserve">Pattern C — The mask tracks the chemistry, atom-for-atom. </w:t>
      </w:r>
      <w:r>
        <w:t xml:space="preserve">As the scaffold vocabulary shifts AR35→AR15, the aggregate importance migrates </w:t>
      </w:r>
      <w:r>
        <w:rPr>
          <w:b/>
          <w:bCs/>
        </w:rPr>
        <w:t xml:space="preserve">sulfur → nitrogen</w:t>
      </w:r>
      <w:r>
        <w:t xml:space="preserve">: S_SP3 falls from rank 4 to rank 9 (mean 0.24→0.08) while the three nitrogen types rise to the top three. The mask is not memorising “sulfonamide = important”; it re-learns the hinge donor for each chemistry.</w:t>
      </w:r>
    </w:p>
    <w:p>
      <w:pPr>
        <w:spacing w:after="120"/>
      </w:pPr>
      <w:r>
        <w:rPr>
          <w:b/>
          <w:bCs/>
          <w:color w:val="1F3864"/>
        </w:rPr>
        <w:t xml:space="preserve">Pattern D — A faithful explainer is also a faithful null-detector. </w:t>
      </w:r>
      <w:r>
        <w:t xml:space="preserve">On WS the mask refuses to invent a pharmacophore: 1607 aromatic carbons sit at importance 0.07 while the only “hot” atoms are statistical rarities (an O_SP2ar with n=3). </w:t>
      </w:r>
      <w:r>
        <w:rPr>
          <w:b/>
          <w:bCs/>
        </w:rPr>
        <w:t xml:space="preserve">Diffuse mask ⇔ broken chemistry</w:t>
      </w:r>
      <w:r>
        <w:t xml:space="preserve"> — the contrast with the sharp AR masks is itself a self-validation of the method.</w:t>
      </w:r>
    </w:p>
    <w:p>
      <w:pPr>
        <w:spacing w:after="120"/>
      </w:pPr>
      <w:r>
        <w:rPr>
          <w:b/>
          <w:bCs/>
        </w:rPr>
        <w:t xml:space="preserve">The faithfulness signature (all configs): </w:t>
      </w:r>
      <w:r>
        <w:t xml:space="preserve">the mask is </w:t>
      </w:r>
      <w:r>
        <w:rPr>
          <w:b/>
          <w:bCs/>
        </w:rPr>
        <w:t xml:space="preserve">non-frequency-driven</w:t>
      </w:r>
      <w:r>
        <w:t xml:space="preserve">. Aromatic carbon is the most abundant atom by ~7× yet ranks near-last for importance in every alternating run. A frequency-driven mask would do the opposite; this one does not.</w:t>
      </w:r>
    </w:p>
    <w:p>
      <w:pPr>
        <w:pStyle w:val="Heading1"/>
      </w:pPr>
      <w:r>
        <w:t xml:space="preserve">4 · Can the interpretation module itself be trusted?</w:t>
      </w:r>
    </w:p>
    <w:p>
      <w:pPr>
        <w:spacing w:after="120"/>
      </w:pPr>
      <w:r>
        <w:t xml:space="preserve">This is what the “three AR15 folders” actually let us test. Two findings support trust; three caveats bound it.</w:t>
      </w:r>
    </w:p>
    <w:p>
      <w:pPr>
        <w:pStyle w:val="Heading2"/>
      </w:pPr>
      <w:r>
        <w:t xml:space="preserve">4.1 Reproducibility — the conclusion survives re-training</w:t>
      </w:r>
    </w:p>
    <w:p>
      <w:pPr>
        <w:spacing w:after="120"/>
      </w:pPr>
      <w:r>
        <w:t xml:space="preserve">The two SSINet versions differ in </w:t>
      </w:r>
      <w:r>
        <w:rPr>
          <w:b/>
          <w:bCs/>
        </w:rPr>
        <w:t xml:space="preserve">training procedure</w:t>
      </w:r>
      <w:r>
        <w:t xml:space="preserve">, not just seed: the old folders use </w:t>
      </w:r>
      <w:r>
        <w:rPr>
          <w:b/>
          <w:bCs/>
        </w:rPr>
        <w:t xml:space="preserve">warm-start only</w:t>
      </w:r>
      <w:r>
        <w:t xml:space="preserve"> (80 epochs); the newest adds </w:t>
      </w:r>
      <w:r>
        <w:rPr>
          <w:b/>
          <w:bCs/>
        </w:rPr>
        <w:t xml:space="preserve">concurrent online updates</w:t>
      </w:r>
      <w:r>
        <w:t xml:space="preserve"> during RL. Despite that, the aggregate atom-type ranking is essentially invariant — all three nitrogen types on top, C_SP3 &gt; C_SP2 &gt; O_SP3 &gt; C_SP2ar &gt; O_SP2 &gt; S_SP3 in the same order, aromatic-C pinned at rank 7. Only the internal N_SP3↔N_SP2ar order swaps (within error bars). </w:t>
      </w:r>
      <w:r>
        <w:rPr>
          <w:b/>
          <w:bCs/>
        </w:rPr>
        <w:t xml:space="preserve">The chemical message is reproducible; the 2nd-vs-3rd decimal is not.</w:t>
      </w:r>
    </w:p>
    <w:p>
      <w:pPr>
        <w:spacing w:after="40" w:before="60"/>
        <w:jc w:val="center"/>
      </w:pPr>
      <w:r>
        <w:drawing>
          <wp:inline distT="0" distB="0" distL="0" distR="0">
            <wp:extent cx="4095750" cy="1466850"/>
            <wp:effectExtent t="0" r="0" b="0" l="0"/>
            <wp:docPr id="1" name="img/f_atoms_warmstart.png" descr="img/f_atoms_warmstart.png" title="img/f_atoms_warm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jc w:val="center"/>
      </w:pPr>
      <w:r>
        <w:drawing>
          <wp:inline distT="0" distB="0" distL="0" distR="0">
            <wp:extent cx="4095750" cy="1466850"/>
            <wp:effectExtent t="0" r="0" b="0" l="0"/>
            <wp:docPr id="1" name="img/f_atoms_concurrent.png" descr="img/f_atoms_concurrent.png" title="img/f_atoms_con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Same molecules, two independent SSINet trainings — warm-start (top) vs warm-start + concurrent (bottom). Ranking and the S-collapse are preserved; note the wide per-atom error bars.</w:t>
      </w:r>
    </w:p>
    <w:p>
      <w:pPr>
        <w:pStyle w:val="Heading2"/>
      </w:pPr>
      <w:r>
        <w:t xml:space="preserve">4.2 Robustness — the localisation survives the sparsity knob</w:t>
      </w:r>
    </w:p>
    <w:p>
      <w:pPr>
        <w:spacing w:after="120"/>
      </w:pPr>
      <w:r>
        <w:t xml:space="preserve">Sweeping α over </w:t>
      </w:r>
      <w:r>
        <w:rPr>
          <w:b/>
          <w:bCs/>
        </w:rPr>
        <w:t xml:space="preserve">0.001 → 0.15 (150×)</w:t>
      </w:r>
      <w:r>
        <w:t xml:space="preserve">, the qualitative explanation does not move: the same fragment stays “hot”, the active-atom count shrinks monotonically (8→6→4→4), and </w:t>
      </w:r>
      <w:r>
        <w:rPr>
          <w:b/>
          <w:bCs/>
        </w:rPr>
        <w:t xml:space="preserve">mask concentration (Gini) rises smoothly with α</w:t>
      </w:r>
      <w:r>
        <w:t xml:space="preserve"> exactly as a sparsity penalty should. The knob behaves; the answer is stable.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1400175"/>
            <wp:effectExtent t="0" r="0" b="0" l="0"/>
            <wp:docPr id="1" name="img/f_alpha.png" descr="img/f_alpha.png" title="img/f_alp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α-sweep descriptors. Gini (right) scales correctly with sparsity. Note the centre panel: the fraction of atoms with weight &gt; 0.5 is flat at zero — see caveat (i).</w:t>
      </w:r>
    </w:p>
    <w:p>
      <w:pPr>
        <w:pStyle w:val="Heading2"/>
      </w:pPr>
      <w:r>
        <w:t xml:space="preserve">4.3 Honest caveats — what the figures also reveal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6500" w:sz="2"/>
              <w:left w:val="single" w:color="9C6500" w:sz="24"/>
              <w:bottom w:val="single" w:color="9C6500" w:sz="2"/>
              <w:right w:val="single" w:color="9C6500" w:sz="2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9C6500"/>
              </w:rPr>
              <w:t xml:space="preserve">(i) The mask is low-magnitude. </w:t>
            </w:r>
            <w:r>
              <w:t xml:space="preserve">Mean weight ≈ 0.09–0.12 and </w:t>
            </w:r>
            <w:r>
              <w:rPr>
                <w:b/>
                <w:bCs/>
              </w:rPr>
              <w:t xml:space="preserve">essentially no atom ever exceeds 0.5</w:t>
            </w:r>
            <w:r>
              <w:t xml:space="preserve"> at any α. The heatmap “hot spots” are </w:t>
            </w:r>
            <w:r>
              <w:rPr>
                <w:b/>
                <w:bCs/>
              </w:rPr>
              <w:t xml:space="preserve">relative emphasis within a diffuse mask</w:t>
            </w:r>
            <w:r>
              <w:t xml:space="preserve">, and the barchart’s “1.00” is a per-molecule normalisation — not an absolute probability of importance. Report Gini, not a 0.5 threshold.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9C6500"/>
              </w:rPr>
              <w:t xml:space="preserve">(ii) The concurrent loss never settles. </w:t>
            </w:r>
            <w:r>
              <w:t xml:space="preserve">The online-update curve oscillates with the alternation schedule (spikes to ~3.4 then recovers): the mask is chasing a </w:t>
            </w:r>
            <w:r>
              <w:rPr>
                <w:b/>
                <w:bCs/>
              </w:rPr>
              <w:t xml:space="preserve">non-stationary molecule distribution</w:t>
            </w:r>
            <w:r>
              <w:t xml:space="preserve">. Mask quality therefore depends on where in the cycle you stop — and AR15 stops on a QED block.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9C6500"/>
              </w:rPr>
              <w:t xml:space="preserve">(iii) Per-atom variance is large. </w:t>
            </w:r>
            <w:r>
              <w:t xml:space="preserve">Atom-type error bars span ~±0.4. Aggregate rankings are trustworthy; </w:t>
            </w:r>
            <w:r>
              <w:rPr>
                <w:b/>
                <w:bCs/>
              </w:rPr>
              <w:t xml:space="preserve">single-atom importances are not</w:t>
            </w:r>
            <w:r>
              <w:t xml:space="preserve"> individually reliable.</w:t>
            </w:r>
          </w:p>
        </w:tc>
      </w:tr>
    </w:tbl>
    <w:p>
      <w:pPr>
        <w:spacing w:after="40" w:before="60"/>
        <w:jc w:val="center"/>
      </w:pPr>
      <w:r>
        <w:drawing>
          <wp:inline distT="0" distB="0" distL="0" distR="0">
            <wp:extent cx="5715000" cy="1314450"/>
            <wp:effectExtent t="0" r="0" b="0" l="0"/>
            <wp:docPr id="1" name="img/f_ssinet_curve.png" descr="img/f_ssinet_curve.png" title="img/f_ssinet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SSINet training. Left: warm-start converges (val tracks train). Right: the concurrent loss tracks the RL alternation rather than flattening — caveat (ii).</w:t>
      </w:r>
    </w:p>
    <w:p>
      <w:pPr>
        <w:pStyle w:val="Heading1"/>
      </w:pPr>
      <w:r>
        <w:t xml:space="preserve">5 · Chemical-reasoning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50"/>
        <w:gridCol w:w="2400"/>
        <w:gridCol w:w="1560"/>
        <w:gridCol w:w="155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Chemotype the policy “found”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Real-world precedent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Mask character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AR35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aryl-polysulfonyl + primary sulfonamide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sulfonamide kinase warhead (celecoxib, pazopanib)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sharp, on —SO₂NH₂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</w:rPr>
              <w:t xml:space="preserve">Correct</w:t>
            </w:r>
          </w:p>
          <w:p>
            <w:pPr>
              <w:spacing w:after="0"/>
            </w:pPr>
            <w:r>
              <w:rPr>
                <w:color w:val="595959"/>
                <w:sz w:val="16"/>
                <w:szCs w:val="16"/>
              </w:rPr>
              <w:t xml:space="preserve">(heavy)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AR15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quinazoline · phthalazinone · indenone · benzophenone · sulfonyl-piperazine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4BTK reference ligand class; olaparib; EGFR drugs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group-aware, scaffold-adaptive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</w:rPr>
              <w:t xml:space="preserve">Correct ✓✓</w:t>
            </w:r>
          </w:p>
          <w:p>
            <w:pPr>
              <w:spacing w:after="0"/>
            </w:pPr>
            <w:r>
              <w:rPr>
                <w:color w:val="595959"/>
                <w:sz w:val="16"/>
                <w:szCs w:val="16"/>
              </w:rPr>
              <w:t xml:space="preserve">(lead-sized)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WS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poly-benzophenone chain (no N, no H-bond donor)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none — not a kinase pharmacophore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diffuse; lights up rare noise atoms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</w:rPr>
              <w:t xml:space="preserve">Reward hack</w:t>
            </w:r>
          </w:p>
        </w:tc>
      </w:tr>
    </w:tbl>
    <w:p>
      <w:pPr>
        <w:spacing w:after="120"/>
      </w:pPr>
      <w:r>
        <w:rPr>
          <w:color w:val="595959"/>
          <w:sz w:val="18"/>
          <w:szCs w:val="18"/>
        </w:rPr>
        <w:t xml:space="preserve">Independent RDKit recomputation of every property matched the logged CSV values exactly (mean |Δ| = 0.000; 100% valid SMILES). One correction to the prior write-up: AR35’s </w:t>
      </w:r>
      <w:r>
        <w:rPr>
          <w:i/>
          <w:iCs/>
          <w:color w:val="595959"/>
          <w:sz w:val="18"/>
          <w:szCs w:val="18"/>
        </w:rPr>
        <w:t xml:space="preserve">full-batch</w:t>
      </w:r>
      <w:r>
        <w:rPr>
          <w:color w:val="595959"/>
          <w:sz w:val="18"/>
          <w:szCs w:val="18"/>
        </w:rPr>
        <w:t xml:space="preserve"> LogP/QED are 2.51 / 0.60 (not the eyeballed ~5 / ~0.5) — AR35’s heaviness is concentrated in its top-10-by-BA, which is the mechanistic point.</w:t>
      </w:r>
    </w:p>
    <w:p>
      <w:pPr>
        <w:pStyle w:val="Heading1"/>
      </w:pPr>
      <w:r>
        <w:t xml:space="preserve">6 · What would harden every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true replicates. </w:t>
      </w:r>
      <w:r>
        <w:t xml:space="preserve">Re-run WS / AR35 / AR15 with </w:t>
      </w:r>
      <w:r>
        <w:rPr>
          <w:b/>
          <w:bCs/>
        </w:rPr>
        <w:t xml:space="preserve">different seeds</w:t>
      </w:r>
      <w:r>
        <w:t xml:space="preserve"> (3× each) to get the variance the current folders cannot provide. This is the single biggest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 the top-5. </w:t>
      </w:r>
      <w:r>
        <w:t xml:space="preserve">One AutoDock-GPU pass converts the GIN proxy BA into a real pose — and would expose any residual reward-hacking the GIN is hiding.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Standardise SSINet QC. </w:t>
      </w:r>
      <w:r>
        <w:t xml:space="preserve">Report </w:t>
      </w:r>
      <w:r>
        <w:rPr>
          <w:b/>
          <w:bCs/>
        </w:rPr>
        <w:t xml:space="preserve">Gini and active-fraction</w:t>
      </w:r>
      <w:r>
        <w:t xml:space="preserve"> alongside every heatmap; pin </w:t>
      </w:r>
      <w:r>
        <w:rPr>
          <w:rFonts w:ascii="Consolas" w:cs="Consolas" w:eastAsia="Consolas" w:hAnsi="Consolas"/>
          <w:sz w:val="18"/>
          <w:szCs w:val="18"/>
        </w:rPr>
        <w:t xml:space="preserve">INTERPRET_SMILES</w:t>
      </w:r>
      <w:r>
        <w:t xml:space="preserve"> to the best molecule (the notebook currently auto-selects a BA −3.3 decoy).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 chemistry. </w:t>
      </w:r>
      <w:r>
        <w:t xml:space="preserve">Add a valence + PAINS/Brenk pass to drop the labile N–S linker, phenyl esters and any pentavalent-S artefacts before reporting.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PDB 4BTK — TTBK1 in complex with inhibitor (RCSB) — </w:t>
      </w:r>
      <w:hyperlink w:history="1" r:id="rIdpriqqs78onwnuewdtrtel">
        <w:r>
          <w:rPr>
            <w:rStyle w:val="Hyperlink"/>
            <w:sz w:val="18"/>
            <w:szCs w:val="18"/>
          </w:rPr>
          <w:t xml:space="preserve">https://www.rcsb.org/structure/4BTK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Goel et al., MoleGuLAR: Molecule Generation Using RL with Alternating Rewards, J. Chem. Inf. Model. 2021 — </w:t>
      </w:r>
      <w:hyperlink w:history="1" r:id="rIdlbqw1yzsfeumttegeoct1">
        <w:r>
          <w:rPr>
            <w:rStyle w:val="Hyperlink"/>
            <w:sz w:val="18"/>
            <w:szCs w:val="18"/>
          </w:rPr>
          <w:t xml:space="preserve">https://pubs.acs.org/doi/10.1021/acs.jcim.1c01341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Shi et al., Self-Supervised Discovering of Interpretable Features for Reinforcement Learning, IEEE TPAMI — </w:t>
      </w:r>
      <w:hyperlink w:history="1" r:id="rIdm4ymgiqn3wsfzybnrebtc">
        <w:r>
          <w:rPr>
            <w:rStyle w:val="Hyperlink"/>
            <w:sz w:val="18"/>
            <w:szCs w:val="18"/>
          </w:rPr>
          <w:t xml:space="preserve">https://ieeexplore.ieee.org/document/9098029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Discovery of Potent and Brain-Penetrant TTBK1 Inhibitors…, J. Med. Chem. 2021 — </w:t>
      </w:r>
      <w:hyperlink w:history="1" r:id="rIdx-apb6w-hifywii_jmcqp">
        <w:r>
          <w:rPr>
            <w:rStyle w:val="Hyperlink"/>
            <w:sz w:val="18"/>
            <w:szCs w:val="18"/>
          </w:rPr>
          <w:t xml:space="preserve">https://pubs.acs.org/doi/10.1021/acs.jmedchem.1c00382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Reward hacking (overview) — </w:t>
      </w:r>
      <w:hyperlink w:history="1" r:id="rIdpebx_9rvrldelqh41a8bg">
        <w:r>
          <w:rPr>
            <w:rStyle w:val="Hyperlink"/>
            <w:sz w:val="18"/>
            <w:szCs w:val="18"/>
          </w:rPr>
          <w:t xml:space="preserve">https://en.wikipedia.org/wiki/Reward_hacking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t xml:space="preserve">In Search of Beautiful Molecules: generative modeling for drug design, J. Chem. Inf. Model. 2025 — </w:t>
      </w:r>
      <w:hyperlink w:history="1" r:id="rIdqenkbclgyikzdfr3fiwvb">
        <w:r>
          <w:rPr>
            <w:rStyle w:val="Hyperlink"/>
            <w:sz w:val="18"/>
            <w:szCs w:val="18"/>
          </w:rPr>
          <w:t xml:space="preserve">https://pubs.acs.org/doi/10.1021/acs.jcim.5c01203</w:t>
        </w:r>
      </w:hyperlink>
    </w:p>
    <w:p>
      <w:pPr>
        <w:spacing w:before="120"/>
      </w:pPr>
      <w:r>
        <w:rPr>
          <w:i/>
          <w:iCs/>
          <w:color w:val="595959"/>
          <w:sz w:val="16"/>
          <w:szCs w:val="16"/>
        </w:rPr>
        <w:t xml:space="preserve">Local primary sources: papers/MoRegular_paper.pdf, papers/Self-Supervised_Discovering…pdf, papers/1988.SMILES.pdf. Quantitative checks: RDKit recompute + md5 provenance over outputs/ (this session).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MoleGuLAR + SSINet · Meta-Validation · Pimpinelli RL Project   — 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4" w:space="3"/>
      </w:pBdr>
      <w:spacing w:after="120" w:before="26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riqqs78onwnuewdtrtel" Type="http://schemas.openxmlformats.org/officeDocument/2006/relationships/hyperlink" Target="https://www.rcsb.org/structure/4BTK" TargetMode="External"/><Relationship Id="rIdlbqw1yzsfeumttegeoct1" Type="http://schemas.openxmlformats.org/officeDocument/2006/relationships/hyperlink" Target="https://pubs.acs.org/doi/10.1021/acs.jcim.1c01341" TargetMode="External"/><Relationship Id="rIdm4ymgiqn3wsfzybnrebtc" Type="http://schemas.openxmlformats.org/officeDocument/2006/relationships/hyperlink" Target="https://ieeexplore.ieee.org/document/9098029" TargetMode="External"/><Relationship Id="rIdx-apb6w-hifywii_jmcqp" Type="http://schemas.openxmlformats.org/officeDocument/2006/relationships/hyperlink" Target="https://pubs.acs.org/doi/10.1021/acs.jmedchem.1c00382" TargetMode="External"/><Relationship Id="rIdpebx_9rvrldelqh41a8bg" Type="http://schemas.openxmlformats.org/officeDocument/2006/relationships/hyperlink" Target="https://en.wikipedia.org/wiki/Reward_hacking" TargetMode="External"/><Relationship Id="rIdqenkbclgyikzdfr3fiwvb" Type="http://schemas.openxmlformats.org/officeDocument/2006/relationships/hyperlink" Target="https://pubs.acs.org/doi/10.1021/acs.jcim.5c01203" TargetMode="External"/><Relationship Id="rId8" Type="http://schemas.openxmlformats.org/officeDocument/2006/relationships/image" Target="media/6012efbd995a98ce76f5c63400e71762c06197e6.png"/><Relationship Id="rId9" Type="http://schemas.openxmlformats.org/officeDocument/2006/relationships/image" Target="media/359c00bfc3d0e5d81016f6621ae221b4b3537d3f.png"/><Relationship Id="rId10" Type="http://schemas.openxmlformats.org/officeDocument/2006/relationships/image" Target="media/d4f10648e716ea08090b88d9275a8d26dbc51416.png"/><Relationship Id="rId11" Type="http://schemas.openxmlformats.org/officeDocument/2006/relationships/image" Target="media/c154ea90b4471a533dc1dedf8979f8b94ec0735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2026-06-01T11:57:20.022Z</dcterms:created>
  <dcterms:modified xsi:type="dcterms:W3CDTF">2026-06-01T11:57:20.022Z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