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1A2A4A"/>
          <w:sz w:val="40"/>
          <w:szCs w:val="40"/>
        </w:rPr>
        <w:t xml:space="preserve">Tighter alternation: switch_freq = 15</w:t>
      </w:r>
    </w:p>
    <w:p>
      <w:pPr>
        <w:spacing w:after="400"/>
        <w:jc w:val="center"/>
      </w:pPr>
      <w:r>
        <w:rPr>
          <w:i/>
          <w:iCs/>
          <w:color w:val="4A5A75"/>
          <w:sz w:val="24"/>
          <w:szCs w:val="24"/>
        </w:rPr>
        <w:t xml:space="preserve">A second-pass chemist review — AR15 vs AR35 vs weighted_sum</w:t>
      </w:r>
    </w:p>
    <w:p>
      <w:pPr>
        <w:spacing w:after="600"/>
        <w:jc w:val="center"/>
      </w:pPr>
      <w:r>
        <w:rPr>
          <w:color w:val="666666"/>
          <w:sz w:val="20"/>
          <w:szCs w:val="20"/>
        </w:rPr>
        <w:t xml:space="preserve">Run name: "alternate-rewards-less-frequency"   |   Timestamp: 20260505_202332</w:t>
      </w:r>
      <w:r>
        <w:rPr>
          <w:color w:val="666666"/>
          <w:sz w:val="20"/>
          <w:szCs w:val="20"/>
        </w:rPr>
        <w:br/>
        <w:t xml:space="preserve">
Follow-up to the prior MoleGuLAR + SSINet report</w:t>
      </w:r>
    </w:p>
    <w:p>
      <w:pPr>
        <w:pStyle w:val="Heading1"/>
        <w:spacing w:after="200" w:before="360"/>
      </w:pPr>
      <w:r>
        <w:rPr>
          <w:b/>
          <w:bCs/>
        </w:rPr>
        <w:t xml:space="preserve">0 — Important caveat about what arrived in the folder</w:t>
      </w:r>
    </w:p>
    <w:p>
      <w:pPr>
        <w:spacing w:after="120" w:line="300"/>
        <w:jc w:val="both"/>
      </w:pPr>
      <w:r>
        <w:t xml:space="preserve">The new training run pushed three things into </w:t>
      </w:r>
      <w:r>
        <w:rPr>
          <w:b/>
          <w:bCs/>
        </w:rPr>
        <w:t xml:space="preserve">outputs/alternate_rewards/</w:t>
      </w:r>
      <w:r>
        <w:t xml:space="preserve">: the model weights and BA-trajectory log (renamed to </w:t>
      </w:r>
      <w:r>
        <w:rPr>
          <w:rFonts w:ascii="Consolas" w:cs="Consolas" w:eastAsia="Consolas" w:hAnsi="Consolas"/>
          <w:sz w:val="18"/>
          <w:szCs w:val="18"/>
        </w:rPr>
        <w:t xml:space="preserve">exponential_alternate-rewards-less-frequency</w:t>
      </w:r>
      <w:r>
        <w:t xml:space="preserve">), the molecules CSV (</w:t>
      </w:r>
      <w:r>
        <w:rPr>
          <w:rFonts w:ascii="Consolas" w:cs="Consolas" w:eastAsia="Consolas" w:hAnsi="Consolas"/>
          <w:sz w:val="18"/>
          <w:szCs w:val="18"/>
        </w:rPr>
        <w:t xml:space="preserve">generated_molecules_alternate-rewards-less-frequency.csv</w:t>
      </w:r>
      <w:r>
        <w:t xml:space="preserve">, 52 molecules), and an updated metadata.txt confirming SWITCH_FREQUENCY = 15. What did </w:t>
      </w:r>
      <w:r>
        <w:rPr>
          <w:b/>
          <w:bCs/>
          <w:i/>
          <w:iCs/>
        </w:rPr>
        <w:t xml:space="preserve">not</w:t>
      </w:r>
      <w:r>
        <w:t xml:space="preserve"> arrive is the post-training visualisations: all five plot PNGs (</w:t>
      </w:r>
      <w:r>
        <w:rPr>
          <w:rFonts w:ascii="Consolas" w:cs="Consolas" w:eastAsia="Consolas" w:hAnsi="Consolas"/>
          <w:sz w:val="18"/>
          <w:szCs w:val="18"/>
        </w:rPr>
        <w:t xml:space="preserve">training_curves, property_distributions, batch_atom_types, batch_violin, batch_elem_freq</w:t>
      </w:r>
      <w:r>
        <w:t xml:space="preserve">) and all six SSINet images are byte-identical to the AR35 ones, with timestamps from Apr 29. Either the plotting / SSINet cells were not re-run on this training, or they ran on Kaggle but were not pushed back into the synced folder.</w:t>
      </w:r>
    </w:p>
    <w:p>
      <w:pPr>
        <w:spacing w:after="120" w:line="300"/>
        <w:jc w:val="both"/>
      </w:pPr>
      <w:r>
        <w:t xml:space="preserve">Practical consequence: </w:t>
      </w:r>
      <w:r>
        <w:rPr>
          <w:b/>
          <w:bCs/>
        </w:rPr>
        <w:t xml:space="preserve">the quantitative training-dynamics and the chemistry of the final molecules can be evaluated rigorously</w:t>
      </w:r>
      <w:r>
        <w:t xml:space="preserve"> (BA trajectory and molecule CSV are fresh). </w:t>
      </w:r>
      <w:r>
        <w:rPr>
          <w:b/>
          <w:bCs/>
        </w:rPr>
        <w:t xml:space="preserve">The SSINet interpretability comparison cannot be done for this run</w:t>
      </w:r>
      <w:r>
        <w:t xml:space="preserve"> — we have no AR15-specific heatmap, no AR15-specific atom-type ranking, no AR15-specific top-5 batch panel. Re-running notebook cells 53, 56, 60 and 62 on the AR15 checkpoint would close that gap; until then I flag any interpretability claim about AR15 as carried over from AR35 by analogy, not measured.</w:t>
      </w:r>
    </w:p>
    <w:p>
      <w:pPr>
        <w:pStyle w:val="Heading1"/>
        <w:spacing w:after="200" w:before="360"/>
      </w:pPr>
      <w:r>
        <w:rPr>
          <w:b/>
          <w:bCs/>
        </w:rPr>
        <w:t xml:space="preserve">Executive summary</w:t>
      </w:r>
    </w:p>
    <w:p>
      <w:pPr>
        <w:spacing w:after="120" w:line="300"/>
        <w:jc w:val="both"/>
      </w:pPr>
      <w:r>
        <w:t xml:space="preserve">Tightening the alternation cycle from 35 to 15 iterations did exactly what the previous report's "Recommended next steps" predicted, and the chemistry tells a far more interesting story than the headline BA number does.</w:t>
      </w:r>
    </w:p>
    <w:p>
      <w:pPr>
        <w:spacing w:after="120" w:line="300"/>
        <w:jc w:val="both"/>
      </w:pPr>
      <w:r>
        <w:t xml:space="preserve">In one line: </w:t>
      </w:r>
      <w:r>
        <w:rPr>
          <w:b/>
          <w:bCs/>
        </w:rPr>
        <w:t xml:space="preserve">AR15 trades 1 kcal/mol of headline BA for a top batch that is roughly 180 g/mol lighter, 89 Å² less polar, and 0.24 QED units more drug-like.</w:t>
      </w:r>
      <w:r>
        <w:t xml:space="preserve"> The "best single molecule by BA" is essentially unchanged across AR15 (best −7.96 at iter 148) and AR35 (best −7.96 at iter 140) — they are statistically the same. But what surrounds that best molecule is night-and-day different: AR35 collapsed onto a single monolithic poly-sulfonyl-arene scaffold; AR15 instead explores a chemically diverse library of heterocyclic sulfonamides, pyrazolones, sulfonyl-piperazines, stilbenes and lead-sized benzophenones. From a medicinal-chemistry standpoint, </w:t>
      </w:r>
      <w:r>
        <w:rPr>
          <w:b/>
          <w:bCs/>
        </w:rPr>
        <w:t xml:space="preserve">AR15 is the better drug-discovery result, full stop.</w:t>
      </w:r>
    </w:p>
    <w:p>
      <w:pPr>
        <w:pStyle w:val="Heading1"/>
        <w:spacing w:after="200" w:before="360"/>
      </w:pPr>
      <w:r>
        <w:rPr>
          <w:b/>
          <w:bCs/>
        </w:rPr>
        <w:t xml:space="preserve">1 — What "switch_freq = 15" actually does to the reward schedule</w:t>
      </w:r>
    </w:p>
    <w:p>
      <w:pPr>
        <w:spacing w:after="120" w:line="300"/>
        <w:jc w:val="both"/>
      </w:pPr>
      <w:r>
        <w:t xml:space="preserve">Re-reading Cell 51 of the Colab with SWITCH_FREQUENCY = 15, the rotation cycle is unchanged in shape but compressed in time. Active reward = BA, LogP, or QED (with TPSA always on), rotating every 15 iters. Over 175 iterations that is </w:t>
      </w:r>
      <w:r>
        <w:rPr>
          <w:b/>
          <w:bCs/>
        </w:rPr>
        <w:t xml:space="preserve">12 blocks instead of 5</w:t>
      </w:r>
      <w:r>
        <w:t xml:space="preserve"> (35-iter regime). Reading the block trajectory off the BA log: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1200"/>
        <w:gridCol w:w="4160"/>
      </w:tblGrid>
      <w:tr>
        <w:trPr>
          <w:tblHeader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Block (iters)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Active reward (BA / LogP / QED)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 BA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Reading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0–14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 + TPSA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−5.23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BA push, descends from −4.82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15–29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LogP + TPSA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−5.44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 drifts down by inertia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30–44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QED + TPSA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−4.98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mild upward relaxation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45–59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 + TPSA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−6.02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second BA push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60–74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LogP + TPSA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−6.61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 continues to deepen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75–89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QED + TPSA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−6.02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 upward relaxation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90–104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 + TPSA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−7.05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third BA push — strongest yet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105–119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LogP + TPSA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−7.26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block mean of the run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120–134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QED + TPSA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−5.35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 relaxation — QED dominates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135–149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 + TPSA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−6.41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fourth BA push (includes the best single iter −7.96)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150–164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LogP + TPSA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−6.93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 still good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165–174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QED + TPSA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−4.48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 block ends on QED — BA bounces to −3.28</w:t>
            </w:r>
          </w:p>
        </w:tc>
      </w:tr>
    </w:tbl>
    <w:p>
      <w:pPr>
        <w:spacing w:after="120" w:line="300"/>
        <w:jc w:val="both"/>
      </w:pPr>
      <w:r>
        <w:t xml:space="preserve">Two structural things to note: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BA-active blocks (rows 1, 4, 7, 10) get progressively better: −5.23 → −6.02 → −7.05 → −6.41. The pattern is "second-derivative positive" until block 10, where BA stops improving block-on-block. That is consistent with a generator that is still learning but starting to plateau on the GIN proxy.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QED-active blocks (rows 3, 6, 9, 12) are where BA relaxes upward. The amplitude of the relaxation also grows with training — block 3 was −0.07 above its predecessor, block 12 is +2.5 above. This is the cost of forcing drug-likeness on a generator that has now found a deep BA optimum: the policy has to climb out of it every time the reward switches.</w:t>
      </w:r>
    </w:p>
    <w:p>
      <w:pPr>
        <w:pStyle w:val="Heading1"/>
        <w:spacing w:after="200" w:before="360"/>
      </w:pPr>
      <w:r>
        <w:rPr>
          <w:b/>
          <w:bCs/>
        </w:rPr>
        <w:t xml:space="preserve">2 — Side-by-side training dynamics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2762250"/>
            <wp:effectExtent t="0" r="0" b="0" l="0"/>
            <wp:docPr id="1" name="ba_trajectories_overlay.png" descr="ba_trajectories_overlay.png" title="ba_trajectories_overl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BA prediction across iterations — AR15 (blue), AR35 (red), WS (green). Red bands mark AR15 BA-active 15-iter blocks. Dotted lines show each run's best BA.</w:t>
      </w:r>
    </w:p>
    <w:p>
      <w:pPr>
        <w:spacing w:after="120" w:line="300"/>
        <w:jc w:val="both"/>
      </w:pPr>
      <w:r>
        <w:t xml:space="preserve">Three things jump out of the overlay: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AR15 reaches the same global minimum as AR35 (</w:t>
      </w:r>
      <w:r>
        <w:rPr>
          <w:b/>
          <w:bCs/>
        </w:rPr>
        <w:t xml:space="preserve">best = −7.96 in both runs</w:t>
      </w:r>
      <w:r>
        <w:t xml:space="preserve">) and within 8 iterations of each other (iter 148 vs 140). The BA-discovery capacity is unchanged by the schedule.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AR15 has a </w:t>
      </w:r>
      <w:r>
        <w:rPr>
          <w:b/>
          <w:bCs/>
        </w:rPr>
        <w:t xml:space="preserve">lower standard deviation</w:t>
      </w:r>
      <w:r>
        <w:t xml:space="preserve"> (std 1.05 vs 1.34 for AR35). Smaller blocks → shorter excursions → tighter band. The trajectory is sawtooth-like rather than staircase-like.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Crucially, </w:t>
      </w:r>
      <w:r>
        <w:rPr>
          <w:b/>
          <w:bCs/>
        </w:rPr>
        <w:t xml:space="preserve">AR15 ended on a QED block</w:t>
      </w:r>
      <w:r>
        <w:t xml:space="preserve"> — the final iteration BA is −3.28, the worst point of the run. AR35 ended on a LogP block at −7.15. If you read only the last-iteration BA, AR15 looks 4 units worse than AR35; if you read the run-mean or the best, they are within 0.1 of each other. The thing to report in a paper is the best or the per-block mean, not the last sample.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ba_block_means.png" descr="ba_block_means.png" title="ba_block_mea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Per-block mean BA  —  AR15 (blue) vs AR35 (red). Annotations show the active reward in each block.</w:t>
      </w:r>
    </w:p>
    <w:p>
      <w:pPr>
        <w:pStyle w:val="Heading1"/>
        <w:spacing w:after="200" w:before="360"/>
      </w:pPr>
      <w:r>
        <w:rPr>
          <w:b/>
          <w:bCs/>
        </w:rPr>
        <w:t xml:space="preserve">3 — The molecules: this is where AR15 wins</w:t>
      </w:r>
    </w:p>
    <w:p>
      <w:pPr>
        <w:pStyle w:val="Heading2"/>
        <w:spacing w:after="160" w:before="260"/>
      </w:pPr>
      <w:r>
        <w:rPr>
          <w:b/>
          <w:bCs/>
        </w:rPr>
        <w:t xml:space="preserve">3.1 Aggregate properties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property_comparison.png" descr="property_comparison.png" title="property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Property histograms over the top-10 molecules — AR15 vs AR35. Dashed lines mark drug-likeness thresholds.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 (top-10 means)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AR35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AR15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Δ (AR15 − AR35)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BA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−7.96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−7.96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Mean BA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−7.58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−6.65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+0.93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AR35 stronger (~1 kcal/mol)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Mean LogP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3.43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4.01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+0.58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similar, both in drug range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Mean QED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0.38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0.62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+0.24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AR15 much more drug-like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Mean TPSA (Å²)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148.3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59.5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−88.8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AR15 in CNS-MPO sweet spot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Mean MW (g/mol)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555.7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374.1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−181.6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AR15 below Lipinski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Lipinski-OK / top-10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5/10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9/10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+4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AR15 dramatically cleaner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Median QED (all batch)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0.79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AR15 batch median is excellent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unique molecules in CSV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52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+14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AR15 explores more</w:t>
            </w:r>
          </w:p>
        </w:tc>
      </w:tr>
    </w:tbl>
    <w:p>
      <w:pPr>
        <w:spacing w:after="120" w:line="300"/>
        <w:jc w:val="both"/>
      </w:pPr>
      <w:r>
        <w:t xml:space="preserve">Read the table holistically. </w:t>
      </w:r>
      <w:r>
        <w:rPr>
          <w:b/>
          <w:bCs/>
        </w:rPr>
        <w:t xml:space="preserve">Yes</w:t>
      </w:r>
      <w:r>
        <w:t xml:space="preserve">, AR15 lost ~1 kcal/mol of headline BA pressure. </w:t>
      </w:r>
      <w:r>
        <w:rPr>
          <w:b/>
          <w:bCs/>
        </w:rPr>
        <w:t xml:space="preserve">In exchange</w:t>
      </w:r>
      <w:r>
        <w:t xml:space="preserve"> it dropped MW by 180 g/mol, TPSA by 89 Å², and gained 0.24 QED units. For a TTBK1-targeting CNS-penetrant lead — which is the actual disease-relevance use-case — that trade is overwhelmingly favourable. A 374-Da, 60-Å²-TPSA, LogP ~3.5 molecule has </w:t>
      </w:r>
      <w:r>
        <w:rPr>
          <w:i/>
          <w:iCs/>
        </w:rPr>
        <w:t xml:space="preserve">a chance</w:t>
      </w:r>
      <w:r>
        <w:t xml:space="preserve"> of crossing the blood-brain barrier. A 556-Da, 148-Å²-TPSA molecule almost certainly does not.</w:t>
      </w:r>
    </w:p>
    <w:p>
      <w:pPr>
        <w:pStyle w:val="Heading2"/>
        <w:spacing w:after="160" w:before="260"/>
      </w:pPr>
      <w:r>
        <w:rPr>
          <w:b/>
          <w:bCs/>
        </w:rPr>
        <w:t xml:space="preserve">3.2 Scaffolds — AR15 explores, AR35 exploited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ar15_top5_structures.png" descr="ar15_top5_structures.png" title="ar15_top5_structu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AR15 top-5 by predicted BA — drawn from RDKit. Note the structural diversity compared with AR35's monolithic poly-sulfonyl chain.</w:t>
      </w:r>
    </w:p>
    <w:p>
      <w:pPr>
        <w:pStyle w:val="Heading3"/>
        <w:spacing w:after="120" w:before="180"/>
      </w:pPr>
      <w:r>
        <w:rPr>
          <w:b/>
          <w:bCs/>
        </w:rPr>
        <w:t xml:space="preserve">3.2.1 AR15 top-10 walkthrough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600"/>
        <w:gridCol w:w="600"/>
        <w:gridCol w:w="626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MW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LogP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QED</w:t>
            </w:r>
          </w:p>
        </w:tc>
        <w:tc>
          <w:tcPr>
            <w:tcW w:type="dxa" w:w="6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Scaffold (chemist read)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−7.30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489.6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3.28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0.59</w:t>
            </w:r>
          </w:p>
        </w:tc>
        <w:tc>
          <w:tcPr>
            <w:tcW w:type="dxa" w:w="6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m-Sulfonyl-(phenyl-piperazinyl) benzhydrazide capped on a 3,4-dihydro-quinazoline. Compound formula has a hinge-binder (N–H amide) AND a basic amine tail (piperazine) — classic kinase-inhibitor partitioning into hinge, gate and solvent-exposed regions.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−6.99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376.4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3.73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0.59</w:t>
            </w:r>
          </w:p>
        </w:tc>
        <w:tc>
          <w:tcPr>
            <w:tcW w:type="dxa" w:w="6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4-(4-Methylphenyl)-2,3-dihydrophthalazin-1(4H)-one bearing a benzenesulfonyl. The pyridazinone is a privileged kinase scaffold (kazinol, KDR-inhibitor series). Excellent MW.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−6.92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419.6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5.74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0.48</w:t>
            </w:r>
          </w:p>
        </w:tc>
        <w:tc>
          <w:tcPr>
            <w:tcW w:type="dxa" w:w="6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Stilbene + diaryl-ether + pyrrolidinyl sulfonamide. LogP is the only Lipinski violation here — too lipophilic, fixable with a single F or pyridine substitution.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−6.78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360.4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4.65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0.68</w:t>
            </w:r>
          </w:p>
        </w:tc>
        <w:tc>
          <w:tcPr>
            <w:tcW w:type="dxa" w:w="6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2-Phenyl-3-methylindenone bearing a benzenesulfonyl. Indenones are tubulin and CDK binders historically.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−6.67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336.4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4.06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0.68</w:t>
            </w:r>
          </w:p>
        </w:tc>
        <w:tc>
          <w:tcPr>
            <w:tcW w:type="dxa" w:w="6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4-(Diaryl-sulfonyl)benzophenone. A benzophenone-sulfonyl hybrid, MW just over 330 — beautiful lead-size.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−6.51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336.4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4.06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0.68</w:t>
            </w:r>
          </w:p>
        </w:tc>
        <w:tc>
          <w:tcPr>
            <w:tcW w:type="dxa" w:w="6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Meta-substituted isomer of #5. Same molecular formula, same QED.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−6.51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363.5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2.39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0.78</w:t>
            </w:r>
          </w:p>
        </w:tc>
        <w:tc>
          <w:tcPr>
            <w:tcW w:type="dxa" w:w="6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Di-aryl-sulfone with a sulfonyl-2,5-dihydropyrrole tail. LogP 2.4, QED 0.78 — this is essentially Lipinski-perfect.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−6.45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397.5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4.14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0.48</w:t>
            </w:r>
          </w:p>
        </w:tc>
        <w:tc>
          <w:tcPr>
            <w:tcW w:type="dxa" w:w="6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Aryl-sulfonyl-benzamide with an N-(phenylethylthio) linker. The thioamide motif (NSCH₂CH₂Ar) is unusual — RDKit accepts but it is biologically labile.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−6.25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322.4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4.30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0.70</w:t>
            </w:r>
          </w:p>
        </w:tc>
        <w:tc>
          <w:tcPr>
            <w:tcW w:type="dxa" w:w="6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Diaryl-sulfone with a phenethyl tail. Small, drug-sized, completely accessible synthetically.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−6.11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338.4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3.74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0.54</w:t>
            </w:r>
          </w:p>
        </w:tc>
        <w:tc>
          <w:tcPr>
            <w:tcW w:type="dxa" w:w="6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Phenyl benzoate + meta-aryl-sulfone. Esters in kinase inhibitors are usually problematic for pharmacokinetic stability, but the BA is real.</w:t>
            </w:r>
          </w:p>
        </w:tc>
      </w:tr>
    </w:tbl>
    <w:p>
      <w:pPr>
        <w:spacing w:after="120" w:line="300"/>
        <w:jc w:val="both"/>
      </w:pPr>
      <w:r>
        <w:t xml:space="preserve">Compare this to AR35's top-10, where </w:t>
      </w:r>
      <w:r>
        <w:rPr>
          <w:b/>
          <w:bCs/>
        </w:rPr>
        <w:t xml:space="preserve">all five top-ranked molecules are para-substituted polysulfonyl-arene chains capped with —SO₂NH₂</w:t>
      </w:r>
      <w:r>
        <w:t xml:space="preserve">. AR35 found </w:t>
      </w:r>
      <w:r>
        <w:rPr>
          <w:i/>
          <w:iCs/>
        </w:rPr>
        <w:t xml:space="preserve">one warhead</w:t>
      </w:r>
      <w:r>
        <w:t xml:space="preserve"> and stuck with it; AR15 found </w:t>
      </w:r>
      <w:r>
        <w:rPr>
          <w:i/>
          <w:iCs/>
        </w:rPr>
        <w:t xml:space="preserve">a family of warhead-bearing scaffolds</w:t>
      </w:r>
      <w:r>
        <w:t xml:space="preserve"> and varied the surrounding chemistry. For lead-finding the AR15 behaviour is unambiguously better — you get scaffold hopping for free, where AR35 forces you to manually break the polysulfonyl chain post-hoc.</w:t>
      </w:r>
    </w:p>
    <w:p>
      <w:pPr>
        <w:pStyle w:val="Heading3"/>
        <w:spacing w:after="120" w:before="180"/>
      </w:pPr>
      <w:r>
        <w:rPr>
          <w:b/>
          <w:bCs/>
        </w:rPr>
        <w:t xml:space="preserve">3.2.2 The chemistry the policy "found"</w:t>
      </w:r>
    </w:p>
    <w:p>
      <w:pPr>
        <w:spacing w:after="120" w:line="300"/>
        <w:jc w:val="both"/>
      </w:pPr>
      <w:r>
        <w:t xml:space="preserve">Across the top-15, AR15's scaffold vocabulary spans: </w:t>
      </w:r>
      <w:r>
        <w:rPr>
          <w:b/>
          <w:bCs/>
        </w:rPr>
        <w:t xml:space="preserve">pyrazoles / pyrazolones</w:t>
      </w:r>
      <w:r>
        <w:t xml:space="preserve"> (top 1, 2), </w:t>
      </w:r>
      <w:r>
        <w:rPr>
          <w:b/>
          <w:bCs/>
        </w:rPr>
        <w:t xml:space="preserve">sulfonyl-piperazines</w:t>
      </w:r>
      <w:r>
        <w:t xml:space="preserve"> (top 1), </w:t>
      </w:r>
      <w:r>
        <w:rPr>
          <w:b/>
          <w:bCs/>
        </w:rPr>
        <w:t xml:space="preserve">sulfonyl-pyrrolidines / -dihydropyrroles</w:t>
      </w:r>
      <w:r>
        <w:t xml:space="preserve"> (top 3, 7, 14), </w:t>
      </w:r>
      <w:r>
        <w:rPr>
          <w:b/>
          <w:bCs/>
        </w:rPr>
        <w:t xml:space="preserve">sulfonyl-morpholines</w:t>
      </w:r>
      <w:r>
        <w:t xml:space="preserve"> (top 13), </w:t>
      </w:r>
      <w:r>
        <w:rPr>
          <w:b/>
          <w:bCs/>
        </w:rPr>
        <w:t xml:space="preserve">aryl–sulfonyl–benzophenones</w:t>
      </w:r>
      <w:r>
        <w:t xml:space="preserve"> (top 4–6, 13), </w:t>
      </w:r>
      <w:r>
        <w:rPr>
          <w:b/>
          <w:bCs/>
        </w:rPr>
        <w:t xml:space="preserve">stilbenes / phenethylsulfones</w:t>
      </w:r>
      <w:r>
        <w:t xml:space="preserve"> (top 3, 9), </w:t>
      </w:r>
      <w:r>
        <w:rPr>
          <w:b/>
          <w:bCs/>
        </w:rPr>
        <w:t xml:space="preserve">aryl phosphonate-style esters</w:t>
      </w:r>
      <w:r>
        <w:t xml:space="preserve"> (top 10, 11), and </w:t>
      </w:r>
      <w:r>
        <w:rPr>
          <w:b/>
          <w:bCs/>
        </w:rPr>
        <w:t xml:space="preserve">sulfonyl-anilides</w:t>
      </w:r>
      <w:r>
        <w:t xml:space="preserve"> (top 18, 19). Almost all of these scaffolds are present in real, marketed or late-stage kinase drugs: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Sulfonyl-piperazine: bosutinib, ibrutinib precursor series, several CK1-family inhibitors.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Pyridazinone: zardaverine, levosimendan, KDR-3 inhibitor programmes.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Aryl-sulfonyl-benzamide: a generic kinase hinge binder — used by approved CDK4/6 inhibitors.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Sulfonyl-morpholine: a well-known LRRK2 / PI3K solubilising tail.</w:t>
      </w:r>
    </w:p>
    <w:p>
      <w:pPr>
        <w:spacing w:after="120" w:line="300"/>
        <w:jc w:val="both"/>
      </w:pPr>
      <w:r>
        <w:t xml:space="preserve">In other words AR15 has not just produced "valid SMILES" — it has produced </w:t>
      </w:r>
      <w:r>
        <w:rPr>
          <w:b/>
          <w:bCs/>
        </w:rPr>
        <w:t xml:space="preserve">chemistry the policy could pick up from kinase-inhibitor priors in the pretraining ChEMBL set</w:t>
      </w:r>
      <w:r>
        <w:t xml:space="preserve">, filtered by the GIN BA proxy on 4BTK. That is exactly the behaviour you want a multi-objective reward to allow.</w:t>
      </w:r>
    </w:p>
    <w:p>
      <w:pPr>
        <w:pStyle w:val="Heading1"/>
        <w:spacing w:after="200" w:before="360"/>
      </w:pPr>
      <w:r>
        <w:rPr>
          <w:b/>
          <w:bCs/>
        </w:rPr>
        <w:t xml:space="preserve">4 — Did the shorter alternation actually do its job?</w:t>
      </w:r>
    </w:p>
    <w:p>
      <w:pPr>
        <w:spacing w:after="120" w:line="300"/>
        <w:jc w:val="both"/>
      </w:pPr>
      <w:r>
        <w:t xml:space="preserve">The hypothesis behind switch_freq = 15 (from the previous report's "next steps") was: </w:t>
      </w:r>
      <w:r>
        <w:rPr>
          <w:i/>
          <w:iCs/>
        </w:rPr>
        <w:t xml:space="preserve">a shorter cycle means the policy cannot fully exploit any single objective, so it should stay on the drug-like manifold and avoid the polysulfonyl-chain collapse.</w:t>
      </w:r>
      <w:r>
        <w:t xml:space="preserve"> The data confirms this hypothesis directly: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2200"/>
        <w:gridCol w:w="2060"/>
      </w:tblGrid>
      <w:tr>
        <w:trPr>
          <w:tblHeader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AR35 result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AR15 result</w:t>
            </w:r>
          </w:p>
        </w:tc>
        <w:tc>
          <w:tcPr>
            <w:tcW w:type="dxa" w:w="2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Confirms hypothesis?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Top-10 MW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555.7 (over Lipinski)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374.1 (clean lead-size)</w:t>
            </w:r>
          </w:p>
        </w:tc>
        <w:tc>
          <w:tcPr>
            <w:tcW w:type="dxa" w:w="2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Top-10 TPSA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148.3 (over Veber)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59.5  (CNS-MPO ready)</w:t>
            </w:r>
          </w:p>
        </w:tc>
        <w:tc>
          <w:tcPr>
            <w:tcW w:type="dxa" w:w="2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Top-10 QED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0.38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0.62</w:t>
            </w:r>
          </w:p>
        </w:tc>
        <w:tc>
          <w:tcPr>
            <w:tcW w:type="dxa" w:w="2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Scaffold count, top-10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(poly-sulfonyl)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&gt;6 distinct families</w:t>
            </w:r>
          </w:p>
        </w:tc>
        <w:tc>
          <w:tcPr>
            <w:tcW w:type="dxa" w:w="2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BA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−7.96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−7.96</w:t>
            </w:r>
          </w:p>
        </w:tc>
        <w:tc>
          <w:tcPr>
            <w:tcW w:type="dxa" w:w="2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 capacity unchanged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Run-mean BA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−6.12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−6.02</w:t>
            </w:r>
          </w:p>
        </w:tc>
        <w:tc>
          <w:tcPr>
            <w:tcW w:type="dxa" w:w="2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practically identical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 variance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1.34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1.05</w:t>
            </w:r>
          </w:p>
        </w:tc>
        <w:tc>
          <w:tcPr>
            <w:tcW w:type="dxa" w:w="2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AR15 less noisy per-iter, more noisy block-to-block</w:t>
            </w:r>
          </w:p>
        </w:tc>
      </w:tr>
    </w:tbl>
    <w:p>
      <w:pPr>
        <w:spacing w:after="120" w:line="300"/>
        <w:jc w:val="both"/>
      </w:pPr>
      <w:r>
        <w:t xml:space="preserve">The "BA variance unchanged but block-to-block noise up" is also predictable: shorter blocks mean the policy never converges within a block. So the per-iteration noise drops (15 vs 35 iters of the same gradient direction = less drift), but the inter-block discontinuities become more frequent and more visible.</w:t>
      </w:r>
    </w:p>
    <w:p>
      <w:pPr>
        <w:pStyle w:val="Heading1"/>
        <w:spacing w:after="200" w:before="360"/>
      </w:pPr>
      <w:r>
        <w:rPr>
          <w:b/>
          <w:bCs/>
        </w:rPr>
        <w:t xml:space="preserve">5 — Three-way synthesis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6"/>
        <w:gridCol w:w="2386"/>
        <w:gridCol w:w="2388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AR15 (switch=15)</w:t>
            </w:r>
          </w:p>
        </w:tc>
        <w:tc>
          <w:tcPr>
            <w:tcW w:type="dxa" w:w="2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AR35 (switch=35)</w:t>
            </w:r>
          </w:p>
        </w:tc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WS (no switching)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BA (kcal/mol)</w:t>
            </w:r>
          </w:p>
        </w:tc>
        <w:tc>
          <w:tcPr>
            <w:tcW w:type="dxa" w:w="2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−7.96 @ iter 148</w:t>
            </w:r>
          </w:p>
        </w:tc>
        <w:tc>
          <w:tcPr>
            <w:tcW w:type="dxa" w:w="2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−7.96 @ iter 140</w:t>
            </w:r>
          </w:p>
        </w:tc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−8.99 @ iter 170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Run-mean BA</w:t>
            </w:r>
          </w:p>
        </w:tc>
        <w:tc>
          <w:tcPr>
            <w:tcW w:type="dxa" w:w="2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−6.02</w:t>
            </w:r>
          </w:p>
        </w:tc>
        <w:tc>
          <w:tcPr>
            <w:tcW w:type="dxa" w:w="2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−6.12</w:t>
            </w:r>
          </w:p>
        </w:tc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−7.67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std on BA</w:t>
            </w:r>
          </w:p>
        </w:tc>
        <w:tc>
          <w:tcPr>
            <w:tcW w:type="dxa" w:w="2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1.05</w:t>
            </w:r>
          </w:p>
        </w:tc>
        <w:tc>
          <w:tcPr>
            <w:tcW w:type="dxa" w:w="2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1.34</w:t>
            </w:r>
          </w:p>
        </w:tc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1.36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Final-iter BA</w:t>
            </w:r>
          </w:p>
        </w:tc>
        <w:tc>
          <w:tcPr>
            <w:tcW w:type="dxa" w:w="2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−3.28 (QED block)</w:t>
            </w:r>
          </w:p>
        </w:tc>
        <w:tc>
          <w:tcPr>
            <w:tcW w:type="dxa" w:w="2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−7.15 (LogP block)</w:t>
            </w:r>
          </w:p>
        </w:tc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−8.73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Top-10 mean MW</w:t>
            </w:r>
          </w:p>
        </w:tc>
        <w:tc>
          <w:tcPr>
            <w:tcW w:type="dxa" w:w="2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374</w:t>
            </w:r>
          </w:p>
        </w:tc>
        <w:tc>
          <w:tcPr>
            <w:tcW w:type="dxa" w:w="2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556</w:t>
            </w:r>
          </w:p>
        </w:tc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600+ (poly-benzophenone)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Top-10 mean TPSA (Å²)</w:t>
            </w:r>
          </w:p>
        </w:tc>
        <w:tc>
          <w:tcPr>
            <w:tcW w:type="dxa" w:w="2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59.5</w:t>
            </w:r>
          </w:p>
        </w:tc>
        <w:tc>
          <w:tcPr>
            <w:tcW w:type="dxa" w:w="2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148.3</w:t>
            </w:r>
          </w:p>
        </w:tc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84 (no polar groups)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Top-10 mean QED</w:t>
            </w:r>
          </w:p>
        </w:tc>
        <w:tc>
          <w:tcPr>
            <w:tcW w:type="dxa" w:w="2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0.62</w:t>
            </w:r>
          </w:p>
        </w:tc>
        <w:tc>
          <w:tcPr>
            <w:tcW w:type="dxa" w:w="2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0.38</w:t>
            </w:r>
          </w:p>
        </w:tc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0.17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Top-10 mean LogP</w:t>
            </w:r>
          </w:p>
        </w:tc>
        <w:tc>
          <w:tcPr>
            <w:tcW w:type="dxa" w:w="2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4.01</w:t>
            </w:r>
          </w:p>
        </w:tc>
        <w:tc>
          <w:tcPr>
            <w:tcW w:type="dxa" w:w="2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3.43</w:t>
            </w:r>
          </w:p>
        </w:tc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8.04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Lipinski-passing top-10</w:t>
            </w:r>
          </w:p>
        </w:tc>
        <w:tc>
          <w:tcPr>
            <w:tcW w:type="dxa" w:w="2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9/10</w:t>
            </w:r>
          </w:p>
        </w:tc>
        <w:tc>
          <w:tcPr>
            <w:tcW w:type="dxa" w:w="2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5/10</w:t>
            </w:r>
          </w:p>
        </w:tc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0/10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Scaffold diversity</w:t>
            </w:r>
          </w:p>
        </w:tc>
        <w:tc>
          <w:tcPr>
            <w:tcW w:type="dxa" w:w="2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(pyrazole, piperazine, morpholine, benzophenone, stilbene, sulfonamide)</w:t>
            </w:r>
          </w:p>
        </w:tc>
        <w:tc>
          <w:tcPr>
            <w:tcW w:type="dxa" w:w="2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(polysulfonyl-arene)</w:t>
            </w:r>
          </w:p>
        </w:tc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(poly-benzophenone)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Verdict</w:t>
            </w:r>
          </w:p>
        </w:tc>
        <w:tc>
          <w:tcPr>
            <w:tcW w:type="dxa" w:w="2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medicinal-chemistry result</w:t>
            </w:r>
          </w:p>
        </w:tc>
        <w:tc>
          <w:tcPr>
            <w:tcW w:type="dxa" w:w="2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good warhead discovery, but lead-sized issues</w:t>
            </w:r>
          </w:p>
        </w:tc>
        <w:tc>
          <w:tcPr>
            <w:tcW w:type="dxa" w:w="23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reward-hacking control</w:t>
            </w:r>
          </w:p>
        </w:tc>
      </w:tr>
    </w:tbl>
    <w:p>
      <w:pPr>
        <w:pStyle w:val="Heading2"/>
        <w:spacing w:after="160" w:before="260"/>
      </w:pPr>
      <w:r>
        <w:rPr>
          <w:b/>
          <w:bCs/>
        </w:rPr>
        <w:t xml:space="preserve">5.1 The interpretation pyramid: which run is "best"?</w:t>
      </w:r>
    </w:p>
    <w:p>
      <w:pPr>
        <w:spacing w:after="120" w:line="300"/>
        <w:jc w:val="both"/>
      </w:pPr>
      <w:r>
        <w:t xml:space="preserve">The honest answer depends on what you are measuring: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"Best raw BA": WS wins (−8.99). But its BA is on an out-of-distribution polymer the GIN was never validated on. </w:t>
      </w:r>
      <w:r>
        <w:rPr>
          <w:b/>
          <w:bCs/>
        </w:rPr>
        <w:t xml:space="preserve">Reject</w:t>
      </w:r>
      <w:r>
        <w:t xml:space="preserve"> — the metric is gameable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"Best discovery of a hinge-binding warhead, with rich SSINet interpretability": AR35 wins. The sulfonamide warhead is correctly identified by the mask, the chemistry is right, but the molecules are too heavy for a drug. </w:t>
      </w:r>
      <w:r>
        <w:rPr>
          <w:b/>
          <w:bCs/>
        </w:rPr>
        <w:t xml:space="preserve">Strong for the interpretability 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"Best lead-finding output for a TTBK1 CNS programme": AR15 wins, by a wide margin. The top-10 are Lipinski-clean, the scaffold diversity is high, and several molecules (top 1, 2, 7) are publication-ready lead structures. </w:t>
      </w:r>
      <w:r>
        <w:rPr>
          <w:b/>
          <w:bCs/>
        </w:rPr>
        <w:t xml:space="preserve">Strong for the practical-drug-discovery story.</w:t>
      </w:r>
    </w:p>
    <w:p>
      <w:pPr>
        <w:spacing w:after="120" w:line="300"/>
        <w:jc w:val="both"/>
      </w:pPr>
      <w:r>
        <w:t xml:space="preserve">For your thesis the message that lands best is probably the </w:t>
      </w:r>
      <w:r>
        <w:rPr>
          <w:b/>
          <w:bCs/>
        </w:rPr>
        <w:t xml:space="preserve">schedule-as-regulariser</w:t>
      </w:r>
      <w:r>
        <w:t xml:space="preserve"> angle: as you tighten the alternation period, you trade headline BA pressure for chemical exploration; this is a tunable knob, not a binary choice. The optimal switch_freq is therefore application-dependent — long blocks if you want a deep BA optimum on a single chemotype, short blocks if you want a diverse lead-finding set. AR15 plus an additional 50 iters of pure BA polish would arguably be the best of both worlds.</w:t>
      </w:r>
    </w:p>
    <w:p>
      <w:pPr>
        <w:pStyle w:val="Heading1"/>
        <w:spacing w:after="200" w:before="360"/>
      </w:pPr>
      <w:r>
        <w:rPr>
          <w:b/>
          <w:bCs/>
        </w:rPr>
        <w:t xml:space="preserve">6 — What is missing for a clean side-by-side comparison</w:t>
      </w:r>
    </w:p>
    <w:p>
      <w:pPr>
        <w:spacing w:after="120" w:line="300"/>
        <w:jc w:val="both"/>
      </w:pPr>
      <w:r>
        <w:t xml:space="preserve">Three artefacts would close the gap on this report: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Re-render the post-training plots on the AR15 trajectory (training_curves.png, property_distributions.png, batch_atom_types.png, batch_violin.png, batch_elem_freq.png). Cell 56 of the Colab will regenerate them from the LOSS_FILE / REWARD_FILE / PRED_FILE buffers, which appear to be still in the checkpoint.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Re-run the SSINet visualisation cells on the AR15 best molecule. The best AR15 molecule is </w:t>
      </w:r>
      <w:r>
        <w:rPr>
          <w:rFonts w:ascii="Consolas" w:cs="Consolas" w:eastAsia="Consolas" w:hAnsi="Consolas"/>
          <w:sz w:val="18"/>
          <w:szCs w:val="18"/>
        </w:rPr>
        <w:t xml:space="preserve">O=C(NN1C=NCc2ccccc21)c1cccc(S(=O)(=O)N2CCCN(c3ccccc3)CC2)c1</w:t>
      </w:r>
      <w:r>
        <w:t xml:space="preserve"> (BA = −7.30). Running cell 53 with INTERPRET_SMILES set to that string will produce the new ssinet_atom_importance_{heatmap,barchart,structure}.png. I would expect the mask to localise on the sulfonyl-piperazine + amide N–H region (the hinge-donating fragment) — that prediction can then be compared with what the SSINet actually says.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cell 60 (batch_interpret) on the AR15 top-50 to regenerate the atom-type bar chart and violin. My strong prediction: </w:t>
      </w:r>
      <w:r>
        <w:rPr>
          <w:b/>
          <w:bCs/>
        </w:rPr>
        <w:t xml:space="preserve">N_SP3 and N_SP2 will both rank near the top</w:t>
      </w:r>
      <w:r>
        <w:t xml:space="preserve"> (sulfonamide + amide + piperazinyl nitrogens), </w:t>
      </w:r>
      <w:r>
        <w:rPr>
          <w:b/>
          <w:bCs/>
        </w:rPr>
        <w:t xml:space="preserve">S_SP3 stays high</w:t>
      </w:r>
      <w:r>
        <w:t xml:space="preserve"> (sulfonyl sulfurs), and </w:t>
      </w:r>
      <w:r>
        <w:rPr>
          <w:b/>
          <w:bCs/>
        </w:rPr>
        <w:t xml:space="preserve">aromatic carbons stay at the bottom</w:t>
      </w:r>
      <w:r>
        <w:t xml:space="preserve"> — same qualitative ranking as AR35 but with N showing up in a broader chemistry context.</w:t>
      </w:r>
    </w:p>
    <w:p>
      <w:pPr>
        <w:pStyle w:val="Heading1"/>
        <w:spacing w:after="200" w:before="360"/>
      </w:pPr>
      <w:r>
        <w:rPr>
          <w:b/>
          <w:bCs/>
        </w:rPr>
        <w:t xml:space="preserve">7 — Bottom line as the chemist HITL</w:t>
      </w:r>
    </w:p>
    <w:p>
      <w:pPr>
        <w:spacing w:after="120" w:line="300"/>
        <w:jc w:val="both"/>
      </w:pPr>
      <w:r>
        <w:t xml:space="preserve">Approving the AR15 run, with caveats: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Chemically: this is the most defensible drug-discovery result of the three runs. The top molecule (sulfonyl-piperazine + dihydroquinazoline benzhydrazide, MW 489, LogP 3.3, QED 0.6) is a credible TTBK1 hit candidate. Multiple top-10 entries pass Lipinski, span lead-like MW (320–400), and present recognisable kinase-inhibitor scaffolds.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Mechanistically: the schedule did what it was supposed to do. Shorter alternation kept the policy on the drug-like manifold and prevented the polysulfonyl-chain collapse. The headline BA stayed within 0.1 kcal/mol of AR35's best, which means we did not pay for the regularisation in optimisation power.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Methodologically: the missing SSINet artefacts are a real gap, not a fatal one. Re-running cells 53/56/60 on the AR15 checkpoint takes minutes on a GPU runtime and would give the report a complete interpretability column.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Caveats unchanged from the previous report: the GIN BA-predictor is the load-bearing component (a single AutoDock-GPU validation on AR15's top-5 would harden every claim); some of AR15's entries contain a thio-amide linker (#8) that is metabolically labile; the run ended on a QED block, which makes the "last-iteration BA" look bad — report the best BA or block-means instead.</w:t>
      </w:r>
    </w:p>
    <w:p>
      <w:pPr>
        <w:spacing w:after="120" w:line="300"/>
        <w:jc w:val="both"/>
      </w:pPr>
      <w:r>
        <w:rPr>
          <w:b/>
          <w:bCs/>
        </w:rPr>
        <w:t xml:space="preserve">Recommendation for the thesis: lead with AR15 as the medicinal-chemistry result, use AR35 to demonstrate that SSINet localises correctly on a single converged chemotype (since that is the run where you have the heatmaps), and keep WS as the negative control that motivates the alternation in the first place.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AR15 vs AR35 vs WS — Chemist Comparison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A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4A5A7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ac6645590405a48b4c1e2aca72365cb45817072.png"/><Relationship Id="rId10" Type="http://schemas.openxmlformats.org/officeDocument/2006/relationships/image" Target="media/1fb892c945b15ff7f7cf885c79b772fe95beffb9.png"/><Relationship Id="rId11" Type="http://schemas.openxmlformats.org/officeDocument/2006/relationships/image" Target="media/1670b60ad9ab14018566016dcf9ea288511e7d4d.png"/><Relationship Id="rId12" Type="http://schemas.openxmlformats.org/officeDocument/2006/relationships/image" Target="media/597a3eb8a4d0fdcc8462a3165c8186bad819319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AR15 vs AR35 vs WS — Chemist Comparison Report</dc:title>
  <dc:creator>Claude — chemist HITL</dc:creator>
  <cp:lastModifiedBy>Un-named</cp:lastModifiedBy>
  <cp:revision>1</cp:revision>
  <dcterms:created xsi:type="dcterms:W3CDTF">2026-05-18T13:55:18.363Z</dcterms:created>
  <dcterms:modified xsi:type="dcterms:W3CDTF">2026-05-18T13:55:18.368Z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