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21082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to be usable for people with visual impairments example color blinds etc.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about new communication tools.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large projects, use small teams.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eeds long battery life.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“We need to improve our processes, put in new systems, and learn to adapt”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Tom Cruise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is 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low to run on older system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Larger businesses are more vulnerable to risk.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Productivity is slowed by learning curves.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Audition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California actors Confrence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Territory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weekly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h1eC1qs6qKncTSpPhmZg7BaNsw==">AMUW2mWcnfOg2Yt6lvrtXl74DI/rMOW8mPsjGpJnZ6A+ue+DHg02eaQ0YXgsct3YALTIF5MACMlem/JylYTX8rvUlPI2EE/gO4z3F4SaDcWIHMh/1BpG24o=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