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1717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Needs to be rugged and portable so that it can be used in the field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 not </w:t>
            </w:r>
            <w:r w:rsidDel="00000000" w:rsidR="00000000" w:rsidRPr="00000000">
              <w:rPr>
                <w:b w:val="1"/>
                <w:rtl w:val="0"/>
              </w:rPr>
              <w:t xml:space="preserve">tech-savvy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Is very clumsy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Ethan Hunt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29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of wood structures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San Fransico, USA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engineer - 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Government Sector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Concrete conference in las vegas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Civil Engineer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P.H.D 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Civil engineering magazine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 - 90,00</w:t>
            </w:r>
            <w:r w:rsidDel="00000000" w:rsidR="00000000" w:rsidRPr="00000000">
              <w:rPr>
                <w:b w:val="1"/>
                <w:rtl w:val="0"/>
              </w:rPr>
              <w:t xml:space="preserve">0usd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WEBSITES: Vimeo and Bing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5NbBb9TA9e/M13KXvoHRbUKaQ==">AMUW2mUFePV/O3fJOjC+4WapiiKnrVnRGetubCUkGuNGVivoSMTTWeVF7hIAW3X+tKRfhst+JOJ3ynw2FjAzo+Uwi6SxSY2j5IdkqpRG4AZbTvnlHZ80bbc=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