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300" w:hRule="atLeast"/>
        </w:trPr>
        <w:tc>
          <w:tcPr>
            <w:tcW w:type="dxa" w:w="12240"/>
            <w:tcBorders>
              <w:top w:val="none" w:color="FFFFFF" w:sz="0"/>
              <w:left w:val="none" w:color="FFFFFF" w:sz="0"/>
              <w:bottom w:val="none" w:color="FFFFFF" w:sz="0"/>
              <w:right w:val="none" w:color="FFFFFF" w:sz="0"/>
            </w:tcBorders>
            <w:shd w:fill="0F1420" w:color="auto" w:val="clear"/>
            <w:tcMar>
              <w:top w:type="dxa" w:w="1200"/>
              <w:left w:type="dxa" w:w="1000"/>
              <w:bottom w:type="dxa" w:w="1200"/>
              <w:right w:type="dxa" w:w="1000"/>
            </w:tcMar>
          </w:tcPr>
          <w:p>
            <w:pPr>
              <w:spacing w:before="1200"/>
            </w:pPr>
            <w:r>
              <w:rPr>
                <w:rFonts w:ascii="Inter" w:cs="Inter" w:eastAsia="Inter" w:hAnsi="Inter"/>
              </w:rPr>
              <w:t xml:space="preserve"/>
            </w:r>
          </w:p>
          <w:p>
            <w:pPr>
              <w:jc w:val="left"/>
            </w:pPr>
            <w:r>
              <w:drawing>
                <wp:inline distT="0" distB="0" distL="0" distR="0">
                  <wp:extent cx="1905000" cy="762000"/>
                  <wp:effectExtent t="0" r="0" b="0" l="0"/>
                  <wp:docPr id="1" name="logo-pindia" descr="Logo Pindia" title="P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62000"/>
                          </a:xfrm>
                          <a:prstGeom prst="rect">
                            <a:avLst/>
                          </a:prstGeom>
                        </pic:spPr>
                      </pic:pic>
                    </a:graphicData>
                  </a:graphic>
                </wp:inline>
              </w:drawing>
            </w:r>
          </w:p>
          <w:p>
            <w:pPr>
              <w:spacing w:after="1200"/>
            </w:pPr>
            <w:r>
              <w:rPr>
                <w:rFonts w:ascii="Inter" w:cs="Inter" w:eastAsia="Inter" w:hAnsi="Inter"/>
              </w:rPr>
              <w:t xml:space="preserve"/>
            </w:r>
          </w:p>
          <w:p>
            <w:pPr>
              <w:spacing w:after="200"/>
            </w:pPr>
            <w:r>
              <w:rPr>
                <w:rFonts w:ascii="Inter" w:cs="Inter" w:eastAsia="Inter" w:hAnsi="Inter"/>
                <w:b/>
                <w:bCs/>
                <w:color w:val="E8413A"/>
                <w:spacing w:val="80"/>
                <w:sz w:val="22"/>
                <w:szCs w:val="22"/>
              </w:rPr>
              <w:t xml:space="preserve">AUDITORÍA WEB · 1 DE MAYO DE 2026 (SEGUNDA PASADA DEL DÍA — REFERENCIA INTERNA _02)</w:t>
            </w:r>
          </w:p>
          <w:p>
            <w:pPr>
              <w:spacing w:after="120"/>
            </w:pPr>
            <w:r>
              <w:rPr>
                <w:rFonts w:ascii="Inter" w:cs="Inter" w:eastAsia="Inter" w:hAnsi="Inter"/>
                <w:b/>
                <w:bCs/>
                <w:color w:val="EAE7E0"/>
                <w:sz w:val="64"/>
                <w:szCs w:val="64"/>
              </w:rPr>
              <w:t xml:space="preserve">Auditoría del sitio</w:t>
            </w:r>
          </w:p>
          <w:p>
            <w:pPr>
              <w:spacing w:after="480"/>
            </w:pPr>
            <w:r>
              <w:rPr>
                <w:rFonts w:ascii="Inter" w:cs="Inter" w:eastAsia="Inter" w:hAnsi="Inter"/>
                <w:b/>
                <w:bCs/>
                <w:color w:val="FFFFFF"/>
                <w:sz w:val="64"/>
                <w:szCs w:val="64"/>
              </w:rPr>
              <w:t xml:space="preserve">pindia.es</w:t>
            </w:r>
          </w:p>
          <w:p>
            <w:pPr>
              <w:spacing w:after="1200" w:line="360"/>
            </w:pPr>
            <w:r>
              <w:rPr>
                <w:rFonts w:ascii="Inter" w:cs="Inter" w:eastAsia="Inter" w:hAnsi="Inter"/>
                <w:color w:val="EAE7E0"/>
                <w:sz w:val="26"/>
                <w:szCs w:val="26"/>
              </w:rPr>
              <w:t xml:space="preserve">Diagnóstico de diseño, UX, rendimiento, SEO, cumplimiento legal y conversión, con plan de acción priorizado en tres fases.</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3000"/>
              <w:gridCol w:w="7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CLIENTE</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 Software S.L. · Agencia de software a medida y diseño web (Bezana – Santander,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SECTOR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B2B servicios digitales — desarrollo a medida, diseño web, apps móviles e integraciones para empresas españolas, con foco regional en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JURISDICCIÓN</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España / UE — RGPD, LOPDGDD, LSSI-CE y criterios AEPD</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PLATAFORMA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Stack propio HTML/CSS/JavaScript vanilla con build pipeline Node, desplegado en GitHub Pages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FECHA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1 de mayo de 2026 (segunda pasada del día — referencia interna _02)</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AUDITOR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w:t>
                  </w:r>
                </w:p>
              </w:tc>
            </w:tr>
          </w:tbl>
          <w:p/>
        </w:tc>
      </w:tr>
    </w:tbl>
    <w:p>
      <w:pPr>
        <w:sectPr>
          <w:pgSz w:w="12240" w:h="15840" w:orient="portrait"/>
          <w:pgMar w:top="0" w:right="0" w:bottom="0" w:left="0" w:header="0" w:footer="0" w:gutter="0"/>
          <w:pgNumType/>
          <w:docGrid w:linePitch="360"/>
        </w:sectPr>
      </w:pP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Resumen ejecutivo</w:t>
      </w:r>
    </w:p>
    <w:p>
      <w:pPr>
        <w:spacing w:after="200" w:before="200"/>
      </w:pPr>
      <w:r>
        <w:rPr>
          <w:rFonts w:ascii="Inter" w:cs="Inter" w:eastAsia="Inter" w:hAnsi="Inter"/>
          <w:color w:val="5C6478"/>
          <w:sz w:val="22"/>
          <w:szCs w:val="22"/>
        </w:rPr>
        <w:t xml:space="preserve">Puntuación global  </w:t>
      </w:r>
      <w:r>
        <w:rPr>
          <w:rFonts w:ascii="Inter" w:cs="Inter" w:eastAsia="Inter" w:hAnsi="Inter"/>
          <w:b/>
          <w:bCs/>
          <w:color w:val="E8413A"/>
          <w:sz w:val="80"/>
          <w:szCs w:val="80"/>
        </w:rPr>
        <w:t xml:space="preserve">7,4</w:t>
      </w:r>
      <w:r>
        <w:rPr>
          <w:rFonts w:ascii="Inter" w:cs="Inter" w:eastAsia="Inter" w:hAnsi="Inter"/>
          <w:b/>
          <w:bCs/>
          <w:color w:val="22293E"/>
          <w:sz w:val="36"/>
          <w:szCs w:val="36"/>
        </w:rPr>
        <w:t xml:space="preserve"> / 10</w:t>
      </w:r>
    </w:p>
    <w:p>
      <w:pPr>
        <w:spacing w:after="120" w:line="320"/>
      </w:pPr>
      <w:r>
        <w:rPr>
          <w:rFonts w:ascii="Inter" w:cs="Inter" w:eastAsia="Inter" w:hAnsi="Inter"/>
          <w:color w:val="22293E"/>
          <w:sz w:val="22"/>
          <w:szCs w:val="22"/>
        </w:rPr>
        <w:t xml:space="preserve">Comparada con la auditoría 01 de hace unas horas, esta segunda pasada captura un sitio en plena maniobra: dos hallazgos altos de la fase 1 ya están corregidos (todas las imágenes de servicio y de proceso de la home llevan ahora alt descriptivo, alineado con la recomendación literal de la auditoría anterior; los enlaces legales del footer apuntan ya a las URLs limpias /aviso-legal/, /politica-privacidad/, /politica-cookies/). Pero la migración de URLs llegó a medio terminar y ha dejado dos regresiones críticas que rebajan ligeramente la nota global (de 7,6 a 7,4): el banner de cookies sigue enlazando a politica-cookies.html, una URL que ahora devuelve 404; y el sitemap.xml todavía lista las tres páginas legales en versión .html, que también devuelven 404. Un usuario que abre el banner de cookies y un Googlebot que recorre el sitemap se chocan con páginas rotas — justo donde la AEPD exige que la política sea accesible. La buena noticia es que ambos arreglos son de minutos: actualizar dos hrefs en cookie-banner.html y reescribir el sitemap a las URLs limpias.</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Puntuación por área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0"/>
        <w:gridCol w:w="3360"/>
      </w:tblGrid>
      <w:tr>
        <w:trPr>
          <w:tblHeader/>
        </w:trPr>
        <w:tc>
          <w:tcPr>
            <w:tcW w:type="dxa" w:w="600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r>
              <w:rPr>
                <w:rFonts w:ascii="Inter" w:cs="Inter" w:eastAsia="Inter" w:hAnsi="Inter"/>
                <w:b/>
                <w:bCs/>
                <w:color w:val="EAE7E0"/>
                <w:spacing w:val="60"/>
                <w:sz w:val="20"/>
                <w:szCs w:val="20"/>
              </w:rPr>
              <w:t xml:space="preserve">ÁREA</w:t>
            </w:r>
          </w:p>
        </w:tc>
        <w:tc>
          <w:tcPr>
            <w:tcW w:type="dxa" w:w="336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pPr>
              <w:jc w:val="right"/>
            </w:pPr>
            <w:r>
              <w:rPr>
                <w:rFonts w:ascii="Inter" w:cs="Inter" w:eastAsia="Inter" w:hAnsi="Inter"/>
                <w:b/>
                <w:bCs/>
                <w:color w:val="EAE7E0"/>
                <w:spacing w:val="60"/>
                <w:sz w:val="20"/>
                <w:szCs w:val="20"/>
              </w:rPr>
              <w:t xml:space="preserve">PUNTUACIÓN</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Diseño visual y branding</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9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UX y arquitectura de información</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Usabilidad técnica y rendimiento</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5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SEO básico on-page</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7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Cumplimiento legal</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bCs/>
                <w:color w:val="E8413A"/>
                <w:sz w:val="22"/>
                <w:szCs w:val="22"/>
              </w:rPr>
              <w:t xml:space="preserve">6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Conversión y confianza</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bl>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fortalezas</w:t>
      </w:r>
    </w:p>
    <w:p>
      <w:pPr>
        <w:pStyle w:val="ListParagraph"/>
        <w:numPr>
          <w:ilvl w:val="0"/>
          <w:numId w:val="2"/>
        </w:numPr>
        <w:spacing w:after="80" w:line="300"/>
      </w:pPr>
      <w:r>
        <w:rPr>
          <w:rFonts w:ascii="Inter" w:cs="Inter" w:eastAsia="Inter" w:hAnsi="Inter"/>
          <w:color w:val="22293E"/>
          <w:sz w:val="22"/>
          <w:szCs w:val="22"/>
        </w:rPr>
        <w:t xml:space="preserve">Branding y accesibilidad ya alineadas en la home. Las cuatro tarjetas de servicio y los cuatro pasos del proceso llevan ahora alt descriptivo ('Maqueta de diseño web responsive con paleta y wireframes', 'Paso 1 del proceso: Entendimiento de necesidades y descubrimiento', etc.). Para una agencia que vende accesibilidad esta coherencia es casi imprescindible — ya está. Solo quedan dos imágenes sin alt y son decorativas (la mascota Pin del banner de cookies).</w:t>
      </w:r>
    </w:p>
    <w:p>
      <w:pPr>
        <w:pStyle w:val="ListParagraph"/>
        <w:numPr>
          <w:ilvl w:val="0"/>
          <w:numId w:val="2"/>
        </w:numPr>
        <w:spacing w:after="80" w:line="300"/>
      </w:pPr>
      <w:r>
        <w:rPr>
          <w:rFonts w:ascii="Inter" w:cs="Inter" w:eastAsia="Inter" w:hAnsi="Inter"/>
          <w:color w:val="22293E"/>
          <w:sz w:val="22"/>
          <w:szCs w:val="22"/>
        </w:rPr>
        <w:t xml:space="preserve">Cumplimiento legal de fondo sigue siendo sólido. Las tres páginas legales existen y son completas en sus URLs limpias (/aviso-legal/, /politica-privacidad/, /politica-cookies/), el banner mantiene los tres botones al mismo nivel (Rechazar, Configurar, Aceptar), el formulario sigue recogiendo consentimiento explícito con enlace a la política. Lo que falla es solo el cableado de URLs — no el contenido.</w:t>
      </w:r>
    </w:p>
    <w:p>
      <w:pPr>
        <w:pStyle w:val="ListParagraph"/>
        <w:numPr>
          <w:ilvl w:val="0"/>
          <w:numId w:val="2"/>
        </w:numPr>
        <w:spacing w:after="80" w:line="300"/>
      </w:pPr>
      <w:r>
        <w:rPr>
          <w:rFonts w:ascii="Inter" w:cs="Inter" w:eastAsia="Inter" w:hAnsi="Inter"/>
          <w:color w:val="22293E"/>
          <w:sz w:val="22"/>
          <w:szCs w:val="22"/>
        </w:rPr>
        <w:t xml:space="preserve">SEO técnico de base intacto. Cuatro JSON-LD (WebSite, Organization, ProfessionalService, FAQPage), canonical en cada página, OG y Twitter Cards, blog con tags y RSS, robots.txt limpio, mascota propia, paleta navy + naranja con disciplina visual.</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problemas críticos</w:t>
      </w:r>
    </w:p>
    <w:p>
      <w:pPr>
        <w:pStyle w:val="ListParagraph"/>
        <w:numPr>
          <w:ilvl w:val="0"/>
          <w:numId w:val="3"/>
        </w:numPr>
        <w:spacing w:after="80" w:line="300"/>
      </w:pPr>
      <w:r>
        <w:rPr>
          <w:rFonts w:ascii="Inter" w:cs="Inter" w:eastAsia="Inter" w:hAnsi="Inter"/>
          <w:color w:val="22293E"/>
          <w:sz w:val="22"/>
          <w:szCs w:val="22"/>
        </w:rPr>
        <w:t xml:space="preserve">El banner de cookies enlaza a una URL 404. El cookie banner contiene dos enlaces 'Detalles en la política de cookies' apuntando a /politica-cookies.html, y esa URL devuelve 404 desde el cambio de estrategia de URLs. Un visitante que pulse ese enlace aterriza en una página rota — y la AEPD exige que la política sea accesible desde el momento del consentimiento.</w:t>
      </w:r>
    </w:p>
    <w:p>
      <w:pPr>
        <w:pStyle w:val="ListParagraph"/>
        <w:numPr>
          <w:ilvl w:val="0"/>
          <w:numId w:val="3"/>
        </w:numPr>
        <w:spacing w:after="80" w:line="300"/>
      </w:pPr>
      <w:r>
        <w:rPr>
          <w:rFonts w:ascii="Inter" w:cs="Inter" w:eastAsia="Inter" w:hAnsi="Inter"/>
          <w:color w:val="22293E"/>
          <w:sz w:val="22"/>
          <w:szCs w:val="22"/>
        </w:rPr>
        <w:t xml:space="preserve">El sitemap.xml declara tres URLs legales que devuelven 404. /aviso-legal.html, /politica-privacidad.html y /politica-cookies.html siguen listadas en el sitemap pero las tres responden 404. Google las marca como páginas perdidas; si las versiones .html estaban indexadas, este es el peor escenario SEO posible — borrado silencioso sin redirección.</w:t>
      </w:r>
    </w:p>
    <w:p>
      <w:pPr>
        <w:pStyle w:val="ListParagraph"/>
        <w:numPr>
          <w:ilvl w:val="0"/>
          <w:numId w:val="3"/>
        </w:numPr>
        <w:spacing w:after="80" w:line="300"/>
      </w:pPr>
      <w:r>
        <w:rPr>
          <w:rFonts w:ascii="Inter" w:cs="Inter" w:eastAsia="Inter" w:hAnsi="Inter"/>
          <w:color w:val="22293E"/>
          <w:sz w:val="22"/>
          <w:szCs w:val="22"/>
        </w:rPr>
        <w:t xml:space="preserve">Peso del hero scroll-canvas tras scroll completo: 24,4 MB. Sin cambios desde la auditoría 01. Carga progresiva confirmada: una visita sin scroll descarga ~1,5 MB, pero quien interactúa con la animación (que es para lo que está) acaba con 24,4 MB de transferencia, en colisión directa con la promesa del copy ('Core Web Vitals en verde, LCP &lt; 2,5 s').</w:t>
      </w:r>
    </w:p>
    <w:p>
      <w:pPr>
        <w:spacing w:after="18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Riesgo legal: Medio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Sube de Bajo a Medio respecto a la auditoría 01 por un motivo concreto: el enlace roto desde el banner a la política de cookies. La AEPD exige que la política esté accesible en el mismo flujo del consentimiento, y un 404 ahí no se puede defender. El resto del marco (responsable identificado, RGPD, derechos del interesado, banner con triple botón) sigue sólido. Es un riesgo que se cierra en cuanto se actualicen dos hrefs y el sitemap.</w:t>
            </w:r>
          </w:p>
        </w:tc>
      </w:tr>
    </w:tbl>
    <w:p>
      <w:pPr>
        <w:spacing w:after="12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No soy abogado. Este apartado es orientativo desde la práctica de auditoría web; para garantías formales se requiere revisión por profesional jurídico especializado en RGPD/AEPD.</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Hallazgos detallados</w:t>
      </w:r>
    </w:p>
    <w:p>
      <w:pPr>
        <w:spacing w:after="120" w:line="320"/>
      </w:pPr>
      <w:r>
        <w:rPr>
          <w:rFonts w:ascii="Inter" w:cs="Inter" w:eastAsia="Inter" w:hAnsi="Inter"/>
          <w:color w:val="22293E"/>
          <w:sz w:val="22"/>
          <w:szCs w:val="22"/>
        </w:rPr>
        <w:t xml:space="preserve">Cada hallazgo se presenta con su nivel de prioridad, evidencia observada en directo y recomendación accionable. Los niveles de prioridad usados son: 🔴 Crítico (riesgo legal o sitio roto), 🟠 Alto (impacto claro en conversión o experiencia), 🟡 Medio (mejora notable pero no urgente), 🟢 Bajo (pulido, nice-to-have).</w:t>
      </w:r>
    </w:p>
    <w:p>
      <w:pPr>
        <w:pStyle w:val="Heading2"/>
        <w:spacing w:after="120" w:before="280"/>
      </w:pPr>
      <w:r>
        <w:rPr>
          <w:rFonts w:ascii="Inter" w:cs="Inter" w:eastAsia="Inter" w:hAnsi="Inter"/>
          <w:b/>
          <w:bCs/>
          <w:color w:val="22293E"/>
          <w:sz w:val="28"/>
          <w:szCs w:val="28"/>
        </w:rPr>
        <w:t xml:space="preserve">1 · Diseño visual y branding</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Las dos imágenes restantes sin alt son la mascota Pin del banner de cookies.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En la home solo quedan dos img sin alt y ambas son la mascota Pin del banner de cookies (cookie-mascot.webp). Como son puramente decorativas, el patrón correcto es alt vacío + aria-hidden=true. Tienen alt vacío pero les falta aria-hidden.</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Filtro en directo: 2 elementos cookie-mascot.webp sin aria-hidden.</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aria-hidden=true y, si procede, role=presentation a ambos img de la mascota Pin en src/partials/cookie-banner.html.</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2 · UX y arquitectura de información</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Falta tiempo de lectura visible en las cards del blog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Recomendación pendiente de la auditoría 01. El builder calcula tiempo de lectura pero las cards del listado solo muestran fecha, título, extracto y tags.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/blog/ — listado revisado en directo, sin tiempo de lectura junto a la fecha.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el tiempo estimado al lado de la fecha en cada post-card.</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Sin breadcrumb en las páginas legales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Las tres páginas legales siguen sin breadcrumb pese al cambio de URL. Es buen momento para añadirlo en la misma operación.</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/aviso-legal/, /politica-privacidad/, /politica-cookies/.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el nav aria-label='Ruta de navegación' que ya existe en /contacto/.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La home concentra 11 H2 distintos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Mismo hallazgo que en 01. La home sigue conteniendo servicios, metodología, proyectos, blog, FAQ, contacto y banner cookies.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document.querySelectorAll('h2').length → 11.</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Mover metodología y FAQ a páginas dedicadas; aplicar progressive disclosure.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3 · Usabilidad técnica y rendimiento</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Peso del hero tras scroll completo: 24,4 MB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En esta segunda pasada se confirma el comportamiento real. La animación scroll-canvas usa carga progresiva: en una visita sin scroll solo se descargan ~7 frames (1,5 MB), lo cual es excelente. Pero un visitante que interactúa con la animación acaba descargando los 112 frames completos — 23.572 KB solo en la secuencia, 24,4 MB de página total. La promesa del copy ('Core Web Vitals en verde, LCP &lt; 2,5 s') choca con esa realidad cuando el usuario se queda 5-10 s viendo la mascota.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performance.getEntriesByType('resource') filtrado por frame_\d+\.webp tras scroll de la home: 112 frames, 23.572 KB transferidos. Sin scroll: 7 frames, ~1,4 MB.</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Tres opciones (sin cambios respecto a 01): vídeo AV1/WebM (1-2 MB), reducir frame set a 1 de cada 3, o mantener la carga diferida actual pero respetar prefers-reduced-data y Save-Data con fallback a imagen estática.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Falta LocalBusiness schema y sameAs en JSON-LD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Mismo hallazgo que en 01. Detectados solo WebSite, Organization, ProfessionalService, FAQPage. Sin LocalBusiness ni sameAs.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Array.from(document.querySelectorAll('script[type=application/ld+json]')) → 4 scripts, ninguno LocalBusiness.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LocalBusiness con dirección, geo, horario, y sameAs con LinkedIn/GitHub en Organization.</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Mascota del cookie banner sin aria-hidden.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Las únicas dos imágenes sin alt son las mascotas del banner. Pequeño detalle ARIA que se relaciona con el hallazgo de Diseño y branding.</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DOM: dos img cookie-mascot.webp con alt vacío y sin aria-hidden.</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aria-hidden=true.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4 · SEO básico on-page</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Sitemap.xml con tres URLs legales que devuelven 404.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/sitemap.xml declara https://pindia.es/aviso-legal.html, https://pindia.es/politica-privacidad.html y https://pindia.es/politica-cookies.html. Las tres URLs ahora responden 404 porque el sitio se ha movido a las URLs limpias /aviso-legal/, /politica-privacidad/, /politica-cookies/. Google va a marcarlas como páginas perdidas, y si ya estaban indexadas se está saliendo de search sin redirección 301.</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Comprobación en directo de las 3 URLs del sitemap → 404. Las versiones limpias (/aviso-legal/, etc.) → 200. Confirmado por fetch en consola.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Tres acciones: (1) Actualizar scripts/build-blog.mjs (que reescribe sitemap.xml) para listar las URLs limpias. (2) Configurar redirects 301 desde /aviso-legal.html → /aviso-legal/ (e idem para las otras dos). En GitHub Pages la opción es servir un HTML mínimo con meta http-equiv=refresh, usar el atributo redirect_from si se vuelve a Jekyll, o emitir 301 desde Cloudflare si está delante. (3) Reenviar el sitemap actualizado a Google Search Console.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Política de privacidad sigue sin nombrar encargados ni transferencias a EE.UU.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Verificado en /politica-privacidad/ (URL nueva): la sección 6 sigue sin mencionar Formspree ni Google Analytics 4. Las cookies analíticas siguen activas (sección 2.2 de la política de cookies cita _ga, _ga_KSW7VRFCV6, _gid).</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/politica-privacidad/ → 200. Inspección con regex: mentionsFormspree=false, mentionsGA=false, mentionsDPF=false.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 párrafo nombrando expresamente Formspree (Formspree Inc., EE.UU., Data Privacy Framework UE-EE.UU.) y Google Analytics 4 (Google LLC, EE.UU., DPF), con la base legal de la transferencia internacional. Validar la adhesión efectiva al DPF de cada proveedor en el momento de redactar.</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H2 con br que rompen el flujo semántico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Detectado de nuevo 'Webs que vendendesde el primer scroll' al extraer texto. Origen: br sin espacio en el HTML.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src/index.html línea 321 y src/servicios/diseno-web.html línea 125.</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 espacio antes del br o sustituirlo por span class=block.</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Algunos titles cerca del límite de truncado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/servicios/ sigue en 79 caracteres.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de meta title en home (~64 chars, OK) y /servicios/ (79 chars, al límite).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Mantener cada title bajo 60-65 caracteres.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5 · Cumplimiento legal — bloque crítico</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El banner de cookies enlaza a /politica-cookies.html (404).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banner de cookies contiene dos enlaces visibles ('Detalles en la política de cookies') apuntando a https://pindia.es/politica-cookies.html — URL que ahora devuelve 404. La AEPD exige que la política sea accesible desde el momento del consentimiento: si el usuario quiere consultarla antes de aceptar, no debe encontrarse una página rota. Es el error legal más sensible de esta auditoría.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bannerCookieLinks en directo → ambos enlaces apuntan a politica-cookies.html. Fetch a esa URL → status 404. Footer ya migrado a /politica-cookies/ (200).</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En src/partials/cookie-banner.html cambiar href=/politica-cookies.html → href=/politica-cookies/ (o sin slash final, según la convención que se elija). Regenerar todas las páginas con npm run build:pages y npm run build:blog. Es el primer fix a hacer.</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Política de privacidad sin nombrar encargados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Repetido del bloque SEO por su naturaleza legal. Sigue sin mencionar Formspree ni Google Analytics 4 ni declarar las transferencias a EE.UU. con la base legal aplicable.</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directa de /politica-privacidad/.</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párrafo específico a la sección 6 de la política de privacidad. Misma recomendación que la auditoría 01.</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Política de cookies no enlaza a privacidad ni aviso legal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Mismo hallazgo que en 01.</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Recorrido de /politica-cookies/.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enlaces cruzados entre las tres páginas legales para coherencia documental.</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Estrategia de canonicalización inconsistente entre piezas.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Tras la migración a URLs limpias, conviven cuatro patrones distintos en el sitio: /aviso-legal/ (footer), /aviso-legal.html (sitemap, banner), /aviso-legal sin slash (que también responde 200 en GitHub Pages) y la versión .html. Idealmente un único patrón canónico, declarado con link rel=canonical en cada página y con redirecciones 301 desde el resto.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Lista completa de hrefs en footer, banner y sitemap.</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Decidir el patrón canónico (recomendado: /aviso-legal/ con slash final, que es lo que ya usa el footer) y migrar los demás. Asegurarse de que link rel=canonical apunta exactamente a esa variante.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Nota legal del auditor. No soy abogado. Cada recomendación legal de este informe es orientativa basada en el marco general (LSSI-CE, RGPD, LOPDGDD y criterios AEPD publicados). Para garantías formales, los textos legales y la implementación deben revisarse con un profesional jurídico especializado en RGPD/protección de datos.</w:t>
            </w:r>
          </w:p>
        </w:tc>
      </w:tr>
    </w:tbl>
    <w:p>
      <w:pPr>
        <w:pStyle w:val="Heading2"/>
        <w:spacing w:after="120" w:before="280"/>
      </w:pPr>
      <w:r>
        <w:rPr>
          <w:rFonts w:ascii="Inter" w:cs="Inter" w:eastAsia="Inter" w:hAnsi="Inter"/>
          <w:b/>
          <w:bCs/>
          <w:color w:val="22293E"/>
          <w:sz w:val="28"/>
          <w:szCs w:val="28"/>
        </w:rPr>
        <w:t xml:space="preserve">6 · Conversión y confianza</w:t>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Falta prueba social cuantificada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Mismo hallazgo que en 01. Sin KPIs en home (kpiBlock=false), sin testimonios.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DOM en directo: no se detectan elementos kpi/metric/stats.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Bloque de KPIs cuantificados en home (+5.000 usuarios, 50+ proyectos, Lighthouse 100, &lt;24 h respuesta) y dos testimonios reales con nombre y empresa.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Sin enlace a redes sociales en el footer (sin cambios).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Mismo hallazgo. socialLinks siguen vacíos en el footer.</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directa del footer en pindia.es: ningún enlace a LinkedIn, GitHub o Instagram.</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bloque 'Síguenos' con LinkedIn y GitHub.</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Plan de acción sugerido</w:t>
      </w:r>
    </w:p>
    <w:p>
      <w:pPr>
        <w:spacing w:after="120" w:line="320"/>
      </w:pPr>
      <w:r>
        <w:rPr>
          <w:rFonts w:ascii="Inter" w:cs="Inter" w:eastAsia="Inter" w:hAnsi="Inter"/>
          <w:color w:val="22293E"/>
          <w:sz w:val="22"/>
          <w:szCs w:val="22"/>
        </w:rPr>
        <w:t xml:space="preserve">Las acciones se agrupan en tres fases. La fase 1 cierra las regresiones introducidas por la migración de URLs y los críticos pendientes; la fase 2 mejora SEO local, conversión y consistencia; la fase 3 aborda rediseño parcial de fondo.</w:t>
      </w:r>
    </w:p>
    <w:p>
      <w:pPr>
        <w:pStyle w:val="Heading3"/>
        <w:spacing w:after="80" w:before="200"/>
      </w:pPr>
      <w:r>
        <w:rPr>
          <w:rFonts w:ascii="Inter" w:cs="Inter" w:eastAsia="Inter" w:hAnsi="Inter"/>
          <w:b/>
          <w:bCs/>
          <w:color w:val="22293E"/>
          <w:sz w:val="24"/>
          <w:szCs w:val="24"/>
        </w:rPr>
        <w:t xml:space="preserve">Fase 1 — Inmediato · Cerrar las regresiones de la migración de URLs</w:t>
      </w:r>
    </w:p>
    <w:p>
      <w:pPr>
        <w:pStyle w:val="ListParagraph"/>
        <w:numPr>
          <w:ilvl w:val="0"/>
          <w:numId w:val="4"/>
        </w:numPr>
        <w:spacing w:after="80" w:line="300"/>
      </w:pPr>
      <w:r>
        <w:rPr>
          <w:rFonts w:ascii="Inter" w:cs="Inter" w:eastAsia="Inter" w:hAnsi="Inter"/>
          <w:color w:val="22293E"/>
          <w:sz w:val="22"/>
          <w:szCs w:val="22"/>
        </w:rPr>
        <w:t xml:space="preserve">Cambiar el href del banner de cookies de /politica-cookies.html a /politica-cookies/ en src/partials/cookie-banner.html. Regenerar con npm run build:pages y npm run build:blog.</w:t>
      </w:r>
    </w:p>
    <w:p>
      <w:pPr>
        <w:pStyle w:val="ListParagraph"/>
        <w:numPr>
          <w:ilvl w:val="0"/>
          <w:numId w:val="4"/>
        </w:numPr>
        <w:spacing w:after="80" w:line="300"/>
      </w:pPr>
      <w:r>
        <w:rPr>
          <w:rFonts w:ascii="Inter" w:cs="Inter" w:eastAsia="Inter" w:hAnsi="Inter"/>
          <w:color w:val="22293E"/>
          <w:sz w:val="22"/>
          <w:szCs w:val="22"/>
        </w:rPr>
        <w:t xml:space="preserve">Reescribir el sitemap.xml para listar /aviso-legal/, /politica-privacidad/, /politica-cookies/ en lugar de las versiones .html. Ajustar scripts/build-blog.mjs.</w:t>
      </w:r>
    </w:p>
    <w:p>
      <w:pPr>
        <w:pStyle w:val="ListParagraph"/>
        <w:numPr>
          <w:ilvl w:val="0"/>
          <w:numId w:val="4"/>
        </w:numPr>
        <w:spacing w:after="80" w:line="300"/>
      </w:pPr>
      <w:r>
        <w:rPr>
          <w:rFonts w:ascii="Inter" w:cs="Inter" w:eastAsia="Inter" w:hAnsi="Inter"/>
          <w:color w:val="22293E"/>
          <w:sz w:val="22"/>
          <w:szCs w:val="22"/>
        </w:rPr>
        <w:t xml:space="preserve">Configurar redirecciones 301 desde /aviso-legal.html, /politica-privacidad.html, /politica-cookies.html a sus URLs limpias.</w:t>
      </w:r>
    </w:p>
    <w:p>
      <w:pPr>
        <w:pStyle w:val="ListParagraph"/>
        <w:numPr>
          <w:ilvl w:val="0"/>
          <w:numId w:val="4"/>
        </w:numPr>
        <w:spacing w:after="80" w:line="300"/>
      </w:pPr>
      <w:r>
        <w:rPr>
          <w:rFonts w:ascii="Inter" w:cs="Inter" w:eastAsia="Inter" w:hAnsi="Inter"/>
          <w:color w:val="22293E"/>
          <w:sz w:val="22"/>
          <w:szCs w:val="22"/>
        </w:rPr>
        <w:t xml:space="preserve">Reescribir la sección 6 de la política de privacidad nombrando explícitamente Formspree y Google Analytics 4, con la base legal de transferencia internacional.</w:t>
      </w:r>
    </w:p>
    <w:p>
      <w:pPr>
        <w:pStyle w:val="ListParagraph"/>
        <w:numPr>
          <w:ilvl w:val="0"/>
          <w:numId w:val="4"/>
        </w:numPr>
        <w:spacing w:after="80" w:line="300"/>
      </w:pPr>
      <w:r>
        <w:rPr>
          <w:rFonts w:ascii="Inter" w:cs="Inter" w:eastAsia="Inter" w:hAnsi="Inter"/>
          <w:color w:val="22293E"/>
          <w:sz w:val="22"/>
          <w:szCs w:val="22"/>
        </w:rPr>
        <w:t xml:space="preserve">Reducir el peso del hero scroll-canvas: implementar al menos la versión 'respetar prefers-reduced-data y Save-Data + fallback a imagen estática'.</w:t>
      </w:r>
    </w:p>
    <w:p>
      <w:pPr>
        <w:pStyle w:val="ListParagraph"/>
        <w:numPr>
          <w:ilvl w:val="0"/>
          <w:numId w:val="4"/>
        </w:numPr>
        <w:spacing w:after="80" w:line="300"/>
      </w:pPr>
      <w:r>
        <w:rPr>
          <w:rFonts w:ascii="Inter" w:cs="Inter" w:eastAsia="Inter" w:hAnsi="Inter"/>
          <w:color w:val="22293E"/>
          <w:sz w:val="22"/>
          <w:szCs w:val="22"/>
        </w:rPr>
        <w:t xml:space="preserve">Añadir aria-hidden=true a las dos imágenes de la mascota Pin del banner de cookies.</w:t>
      </w:r>
    </w:p>
    <w:p>
      <w:pPr>
        <w:pStyle w:val="Heading3"/>
        <w:spacing w:after="80" w:before="200"/>
      </w:pPr>
      <w:r>
        <w:rPr>
          <w:rFonts w:ascii="Inter" w:cs="Inter" w:eastAsia="Inter" w:hAnsi="Inter"/>
          <w:b/>
          <w:bCs/>
          <w:color w:val="22293E"/>
          <w:sz w:val="24"/>
          <w:szCs w:val="24"/>
        </w:rPr>
        <w:t xml:space="preserve">Fase 2 — Mes 1 · SEO local, conversión y consistencia</w:t>
      </w:r>
    </w:p>
    <w:p>
      <w:pPr>
        <w:pStyle w:val="ListParagraph"/>
        <w:numPr>
          <w:ilvl w:val="0"/>
          <w:numId w:val="5"/>
        </w:numPr>
        <w:spacing w:after="80" w:line="300"/>
      </w:pPr>
      <w:r>
        <w:rPr>
          <w:rFonts w:ascii="Inter" w:cs="Inter" w:eastAsia="Inter" w:hAnsi="Inter"/>
          <w:color w:val="22293E"/>
          <w:sz w:val="22"/>
          <w:szCs w:val="22"/>
        </w:rPr>
        <w:t xml:space="preserve">Añadir LocalBusiness schema con dirección, horario y geo, y sameAs con LinkedIn/GitHub en Organization.</w:t>
      </w:r>
    </w:p>
    <w:p>
      <w:pPr>
        <w:pStyle w:val="ListParagraph"/>
        <w:numPr>
          <w:ilvl w:val="0"/>
          <w:numId w:val="5"/>
        </w:numPr>
        <w:spacing w:after="80" w:line="300"/>
      </w:pPr>
      <w:r>
        <w:rPr>
          <w:rFonts w:ascii="Inter" w:cs="Inter" w:eastAsia="Inter" w:hAnsi="Inter"/>
          <w:color w:val="22293E"/>
          <w:sz w:val="22"/>
          <w:szCs w:val="22"/>
        </w:rPr>
        <w:t xml:space="preserve">Añadir bloque de KPIs cuantificados en home y dos testimonios reales con nombre y empresa.</w:t>
      </w:r>
    </w:p>
    <w:p>
      <w:pPr>
        <w:pStyle w:val="ListParagraph"/>
        <w:numPr>
          <w:ilvl w:val="0"/>
          <w:numId w:val="5"/>
        </w:numPr>
        <w:spacing w:after="80" w:line="300"/>
      </w:pPr>
      <w:r>
        <w:rPr>
          <w:rFonts w:ascii="Inter" w:cs="Inter" w:eastAsia="Inter" w:hAnsi="Inter"/>
          <w:color w:val="22293E"/>
          <w:sz w:val="22"/>
          <w:szCs w:val="22"/>
        </w:rPr>
        <w:t xml:space="preserve">Añadir tiempo de lectura visible en las cards del listado del blog.</w:t>
      </w:r>
    </w:p>
    <w:p>
      <w:pPr>
        <w:pStyle w:val="ListParagraph"/>
        <w:numPr>
          <w:ilvl w:val="0"/>
          <w:numId w:val="5"/>
        </w:numPr>
        <w:spacing w:after="80" w:line="300"/>
      </w:pPr>
      <w:r>
        <w:rPr>
          <w:rFonts w:ascii="Inter" w:cs="Inter" w:eastAsia="Inter" w:hAnsi="Inter"/>
          <w:color w:val="22293E"/>
          <w:sz w:val="22"/>
          <w:szCs w:val="22"/>
        </w:rPr>
        <w:t xml:space="preserve">Acortar titles que superan los 65 caracteres.</w:t>
      </w:r>
    </w:p>
    <w:p>
      <w:pPr>
        <w:pStyle w:val="ListParagraph"/>
        <w:numPr>
          <w:ilvl w:val="0"/>
          <w:numId w:val="5"/>
        </w:numPr>
        <w:spacing w:after="80" w:line="300"/>
      </w:pPr>
      <w:r>
        <w:rPr>
          <w:rFonts w:ascii="Inter" w:cs="Inter" w:eastAsia="Inter" w:hAnsi="Inter"/>
          <w:color w:val="22293E"/>
          <w:sz w:val="22"/>
          <w:szCs w:val="22"/>
        </w:rPr>
        <w:t xml:space="preserve">Decidir y aplicar un único patrón canónico para las URLs legales (/aviso-legal/ con slash final, recomendado) y declararlo con link rel=canonical.</w:t>
      </w:r>
    </w:p>
    <w:p>
      <w:pPr>
        <w:pStyle w:val="Heading3"/>
        <w:spacing w:after="80" w:before="200"/>
      </w:pPr>
      <w:r>
        <w:rPr>
          <w:rFonts w:ascii="Inter" w:cs="Inter" w:eastAsia="Inter" w:hAnsi="Inter"/>
          <w:b/>
          <w:bCs/>
          <w:color w:val="22293E"/>
          <w:sz w:val="24"/>
          <w:szCs w:val="24"/>
        </w:rPr>
        <w:t xml:space="preserve">Fase 3 — Trimestre · Rediseño de fondo y pulido</w:t>
      </w:r>
    </w:p>
    <w:p>
      <w:pPr>
        <w:pStyle w:val="ListParagraph"/>
        <w:numPr>
          <w:ilvl w:val="0"/>
          <w:numId w:val="6"/>
        </w:numPr>
        <w:spacing w:after="80" w:line="300"/>
      </w:pPr>
      <w:r>
        <w:rPr>
          <w:rFonts w:ascii="Inter" w:cs="Inter" w:eastAsia="Inter" w:hAnsi="Inter"/>
          <w:color w:val="22293E"/>
          <w:sz w:val="22"/>
          <w:szCs w:val="22"/>
        </w:rPr>
        <w:t xml:space="preserve">Replantear la home con progressive disclosure: mover metodología y FAQ a páginas dedicadas, dejar la home en valor + servicios + 1 caso destacado + CTA + bloque de prueba social.</w:t>
      </w:r>
    </w:p>
    <w:p>
      <w:pPr>
        <w:pStyle w:val="ListParagraph"/>
        <w:numPr>
          <w:ilvl w:val="0"/>
          <w:numId w:val="6"/>
        </w:numPr>
        <w:spacing w:after="80" w:line="300"/>
      </w:pPr>
      <w:r>
        <w:rPr>
          <w:rFonts w:ascii="Inter" w:cs="Inter" w:eastAsia="Inter" w:hAnsi="Inter"/>
          <w:color w:val="22293E"/>
          <w:sz w:val="22"/>
          <w:szCs w:val="22"/>
        </w:rPr>
        <w:t xml:space="preserve">Añadir breadcrumb a las páginas legales para coherencia con el resto del sitio.</w:t>
      </w:r>
    </w:p>
    <w:p>
      <w:pPr>
        <w:pStyle w:val="ListParagraph"/>
        <w:numPr>
          <w:ilvl w:val="0"/>
          <w:numId w:val="6"/>
        </w:numPr>
        <w:spacing w:after="80" w:line="300"/>
      </w:pPr>
      <w:r>
        <w:rPr>
          <w:rFonts w:ascii="Inter" w:cs="Inter" w:eastAsia="Inter" w:hAnsi="Inter"/>
          <w:color w:val="22293E"/>
          <w:sz w:val="22"/>
          <w:szCs w:val="22"/>
        </w:rPr>
        <w:t xml:space="preserve">Sustituir los br semánticos en titulares por span class=block con display:block en CSS.</w:t>
      </w:r>
    </w:p>
    <w:p>
      <w:pPr>
        <w:pStyle w:val="ListParagraph"/>
        <w:numPr>
          <w:ilvl w:val="0"/>
          <w:numId w:val="6"/>
        </w:numPr>
        <w:spacing w:after="80" w:line="300"/>
      </w:pPr>
      <w:r>
        <w:rPr>
          <w:rFonts w:ascii="Inter" w:cs="Inter" w:eastAsia="Inter" w:hAnsi="Inter"/>
          <w:color w:val="22293E"/>
          <w:sz w:val="22"/>
          <w:szCs w:val="22"/>
        </w:rPr>
        <w:t xml:space="preserve">Añadir bloque de redes sociales en footer con LinkedIn y GitHub.</w:t>
      </w:r>
    </w:p>
    <w:p>
      <w:pPr>
        <w:pStyle w:val="ListParagraph"/>
        <w:numPr>
          <w:ilvl w:val="0"/>
          <w:numId w:val="6"/>
        </w:numPr>
        <w:spacing w:after="80" w:line="300"/>
      </w:pPr>
      <w:r>
        <w:rPr>
          <w:rFonts w:ascii="Inter" w:cs="Inter" w:eastAsia="Inter" w:hAnsi="Inter"/>
          <w:color w:val="22293E"/>
          <w:sz w:val="22"/>
          <w:szCs w:val="22"/>
        </w:rPr>
        <w:t xml:space="preserve">Considerar si la animación scroll-canvas merece la pena el esfuerzo de mantenimiento — un vídeo AV1 de 1-2 MB con scroll virtualizado da el 90 % del efecto al 5 % del coste.</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Por qué este sitio merece un rediseño</w:t>
      </w:r>
    </w:p>
    <w:p>
      <w:pPr>
        <w:spacing w:after="120" w:line="320"/>
      </w:pPr>
      <w:r>
        <w:rPr>
          <w:rFonts w:ascii="Inter" w:cs="Inter" w:eastAsia="Inter" w:hAnsi="Inter"/>
          <w:color w:val="22293E"/>
          <w:sz w:val="22"/>
          <w:szCs w:val="22"/>
        </w:rPr>
        <w:t xml:space="preserve">Lo que esta segunda auditoría cuenta es algo más interesante que la primera: pindia.es es un sitio que se mueve. Entre 01 y 02 se han implementado dos correcciones reales (alt en imágenes de servicio y de proceso, URLs limpias en footer) y se ha introducido una regresión clásica de migración a medio terminar (sitemap y banner de cookies que apuntan a las URLs viejas). Lo bueno es que todo lo que hace falta para subir del 7,4 al 9 sigue siendo cuestión de fase 1 — una hora bien invertida en cookie-banner, sitemap, política de privacidad y aria-hidden cierra cuatro hallazgos críticos a la vez. El argumento comercial principal sigue siendo el mismo: si Pindia vende 'webs que convierten y posicionan, mobile-first y con SEO técnico avanzado', la propia web es el escaparate. Una migración de URLs sin redirección y un sitemap con 404s son justo el tipo de cosa que un cliente potencial detecta con su SEO consultor antes de la primera reunión.</w:t>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bCs/>
                <w:i/>
                <w:iCs/>
                <w:color w:val="22293E"/>
                <w:sz w:val="22"/>
                <w:szCs w:val="22"/>
              </w:rPr>
              <w:t xml:space="preserve">La diferencia entre una agencia profesional y una excepcional no es que no cometa regresiones — es la velocidad con la que las detecta y las cierra.</w:t>
            </w:r>
          </w:p>
        </w:tc>
      </w:tr>
    </w:tbl>
    <w:p>
      <w:pPr>
        <w:spacing w:after="20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Auditoría realizada por Pindia el 1 de mayo de 2026 (segunda pasada, referencia interna _02) sobre la versión en producción de pindia.es. Las observaciones legales son orientativas y no sustituyen asesoramiento jurídico formal.</w:t>
      </w:r>
    </w:p>
    <w:sectPr>
      <w:headerReference w:type="default" r:id="rId7"/>
      <w:footerReference w:type="default" r:id="rId8"/>
      <w:type w:val="nextPage"/>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color w:val="5C6478"/>
        <w:sz w:val="18"/>
        <w:szCs w:val="18"/>
      </w:rPr>
      <w:t xml:space="preserve">Confidencial · Pindia</w:t>
    </w:r>
    <w:r>
      <w:rPr>
        <w:rFonts w:ascii="Inter" w:cs="Inter" w:eastAsia="Inter" w:hAnsi="Inter"/>
        <w:color w:val="5C6478"/>
        <w:sz w:val="18"/>
        <w:szCs w:val="18"/>
      </w:rPr>
      <w:t xml:space="preserve">	Página </w:t>
    </w:r>
    <w:r>
      <w:rPr>
        <w:rFonts w:ascii="Inter" w:cs="Inter" w:eastAsia="Inter" w:hAnsi="Inter"/>
        <w:b/>
        <w:bCs/>
        <w:color w:val="2229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13A" w:sz="6" w:space="4"/>
      </w:pBdr>
      <w:tabs>
        <w:tab w:val="right" w:pos="9360"/>
      </w:tabs>
    </w:pPr>
    <w:r>
      <w:rPr>
        <w:rFonts w:ascii="Inter" w:cs="Inter" w:eastAsia="Inter" w:hAnsi="Inter"/>
        <w:color w:val="5C6478"/>
        <w:sz w:val="18"/>
        <w:szCs w:val="18"/>
      </w:rPr>
      <w:t xml:space="preserve">Auditoría pindia.es</w:t>
    </w:r>
    <w:r>
      <w:rPr>
        <w:rFonts w:ascii="Inter" w:cs="Inter" w:eastAsia="Inter" w:hAnsi="Inter"/>
        <w:color w:val="5C6478"/>
        <w:sz w:val="18"/>
        <w:szCs w:val="18"/>
      </w:rPr>
      <w:t xml:space="preserve">	Pindia · 1 de mayo de 2026 (segunda pasada del día — referencia interna _02)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Inter" w:cs="Inter" w:eastAsia="Inter" w:hAnsi="Inter"/>
        <w:color w:val="E8413A"/>
      </w:rPr>
    </w:lvl>
  </w:abstractNum>
  <w:abstractNum w:abstractNumId="3"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4"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5"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6"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7"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8"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29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22293E"/>
      <w:sz w:val="36"/>
      <w:szCs w:val="36"/>
    </w:rPr>
  </w:style>
  <w:style w:type="paragraph" w:styleId="Heading2">
    <w:name w:val="Heading 2"/>
    <w:basedOn w:val="Normal"/>
    <w:next w:val="Normal"/>
    <w:qFormat/>
    <w:pPr>
      <w:spacing w:after="120" w:before="280"/>
      <w:outlineLvl w:val="1"/>
    </w:pPr>
    <w:rPr>
      <w:rFonts w:ascii="Inter" w:cs="Inter" w:eastAsia="Inter" w:hAnsi="Inter"/>
      <w:b/>
      <w:bCs/>
      <w:color w:val="22293E"/>
      <w:sz w:val="28"/>
      <w:szCs w:val="28"/>
    </w:rPr>
  </w:style>
  <w:style w:type="paragraph" w:styleId="Heading3">
    <w:name w:val="Heading 3"/>
    <w:basedOn w:val="Normal"/>
    <w:next w:val="Normal"/>
    <w:qFormat/>
    <w:pPr>
      <w:spacing w:after="80" w:before="200"/>
      <w:outlineLvl w:val="2"/>
    </w:pPr>
    <w:rPr>
      <w:rFonts w:ascii="Inter" w:cs="Inter" w:eastAsia="Inter" w:hAnsi="Inter"/>
      <w:b/>
      <w:bCs/>
      <w:color w:val="2229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500f14f77904a8584ba8736397f35df3eca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web — pindia.es</dc:title>
  <dc:creator>Pindia</dc:creator>
  <dc:description>Auditoría de pindia.es realizada por Pindia</dc:description>
  <cp:lastModifiedBy>Un-named</cp:lastModifiedBy>
  <cp:revision>1</cp:revision>
  <dcterms:created xsi:type="dcterms:W3CDTF">2026-05-01T15:55:19.660Z</dcterms:created>
  <dcterms:modified xsi:type="dcterms:W3CDTF">2026-05-01T15:55:19.661Z</dcterms:modified>
</cp:coreProperties>
</file>

<file path=docProps/custom.xml><?xml version="1.0" encoding="utf-8"?>
<Properties xmlns="http://schemas.openxmlformats.org/officeDocument/2006/custom-properties" xmlns:vt="http://schemas.openxmlformats.org/officeDocument/2006/docPropsVTypes"/>
</file>