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none" w:color="FFFFFF" w:sz="0"/>
          <w:left w:val="none" w:color="FFFFFF" w:sz="0"/>
          <w:bottom w:val="none" w:color="FFFFFF" w:sz="0"/>
          <w:right w:val="none" w:color="FFFFFF" w:sz="0"/>
          <w:insideH w:val="none" w:color="FFFFFF" w:sz="0"/>
          <w:insideV w:val="none" w:color="FFFFFF" w:sz="0"/>
        </w:tblBorders>
      </w:tblPr>
      <w:tblGrid>
        <w:gridCol w:w="12240"/>
      </w:tblGrid>
      <w:tr>
        <w:trPr>
          <w:trHeight w:val="15300" w:hRule="atLeast"/>
        </w:trPr>
        <w:tc>
          <w:tcPr>
            <w:tcW w:type="dxa" w:w="12240"/>
            <w:tcBorders>
              <w:top w:val="none" w:color="FFFFFF" w:sz="0"/>
              <w:left w:val="none" w:color="FFFFFF" w:sz="0"/>
              <w:bottom w:val="none" w:color="FFFFFF" w:sz="0"/>
              <w:right w:val="none" w:color="FFFFFF" w:sz="0"/>
            </w:tcBorders>
            <w:shd w:fill="0F1420" w:color="auto" w:val="clear"/>
            <w:tcMar>
              <w:top w:type="dxa" w:w="1200"/>
              <w:left w:type="dxa" w:w="1000"/>
              <w:bottom w:type="dxa" w:w="1200"/>
              <w:right w:type="dxa" w:w="1000"/>
            </w:tcMar>
          </w:tcPr>
          <w:p>
            <w:pPr>
              <w:spacing w:before="1200"/>
            </w:pPr>
            <w:r>
              <w:rPr>
                <w:rFonts w:ascii="Inter" w:cs="Inter" w:eastAsia="Inter" w:hAnsi="Inter"/>
              </w:rPr>
              <w:t xml:space="preserve"/>
            </w:r>
          </w:p>
          <w:p>
            <w:pPr>
              <w:jc w:val="left"/>
            </w:pPr>
            <w:r>
              <w:drawing>
                <wp:inline distT="0" distB="0" distL="0" distR="0">
                  <wp:extent cx="1905000" cy="762000"/>
                  <wp:effectExtent t="0" r="0" b="0" l="0"/>
                  <wp:docPr id="1" name="logo-pindia" descr="Logo Pindia" title="P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762000"/>
                          </a:xfrm>
                          <a:prstGeom prst="rect">
                            <a:avLst/>
                          </a:prstGeom>
                        </pic:spPr>
                      </pic:pic>
                    </a:graphicData>
                  </a:graphic>
                </wp:inline>
              </w:drawing>
            </w:r>
          </w:p>
          <w:p>
            <w:pPr>
              <w:spacing w:after="1200"/>
            </w:pPr>
            <w:r>
              <w:rPr>
                <w:rFonts w:ascii="Inter" w:cs="Inter" w:eastAsia="Inter" w:hAnsi="Inter"/>
              </w:rPr>
              <w:t xml:space="preserve"/>
            </w:r>
          </w:p>
          <w:p>
            <w:pPr>
              <w:spacing w:after="200"/>
            </w:pPr>
            <w:r>
              <w:rPr>
                <w:rFonts w:ascii="Inter" w:cs="Inter" w:eastAsia="Inter" w:hAnsi="Inter"/>
                <w:b/>
                <w:bCs/>
                <w:color w:val="E8413A"/>
                <w:spacing w:val="80"/>
                <w:sz w:val="22"/>
                <w:szCs w:val="22"/>
              </w:rPr>
              <w:t xml:space="preserve">AUDITORÍA WEB · 1 DE MAYO DE 2026 (CUARTA PASADA DEL DÍA — REFERENCIA INTERNA _04)</w:t>
            </w:r>
          </w:p>
          <w:p>
            <w:pPr>
              <w:spacing w:after="120"/>
            </w:pPr>
            <w:r>
              <w:rPr>
                <w:rFonts w:ascii="Inter" w:cs="Inter" w:eastAsia="Inter" w:hAnsi="Inter"/>
                <w:b/>
                <w:bCs/>
                <w:color w:val="EAE7E0"/>
                <w:sz w:val="64"/>
                <w:szCs w:val="64"/>
              </w:rPr>
              <w:t xml:space="preserve">Auditoría del sitio</w:t>
            </w:r>
          </w:p>
          <w:p>
            <w:pPr>
              <w:spacing w:after="480"/>
            </w:pPr>
            <w:r>
              <w:rPr>
                <w:rFonts w:ascii="Inter" w:cs="Inter" w:eastAsia="Inter" w:hAnsi="Inter"/>
                <w:b/>
                <w:bCs/>
                <w:color w:val="FFFFFF"/>
                <w:sz w:val="64"/>
                <w:szCs w:val="64"/>
              </w:rPr>
              <w:t xml:space="preserve">pindia.es</w:t>
            </w:r>
          </w:p>
          <w:p>
            <w:pPr>
              <w:spacing w:after="1200" w:line="360"/>
            </w:pPr>
            <w:r>
              <w:rPr>
                <w:rFonts w:ascii="Inter" w:cs="Inter" w:eastAsia="Inter" w:hAnsi="Inter"/>
                <w:color w:val="EAE7E0"/>
                <w:sz w:val="26"/>
                <w:szCs w:val="26"/>
              </w:rPr>
              <w:t xml:space="preserve">Diagnóstico de diseño, UX, rendimiento, SEO, cumplimiento legal y conversión, con plan de acción priorizado en tres fases.</w:t>
            </w:r>
          </w:p>
          <w:tbl>
            <w:tblPr>
              <w:tblW w:type="dxa" w:w="10000"/>
              <w:tblBorders>
                <w:top w:val="none" w:color="FFFFFF" w:sz="0"/>
                <w:left w:val="none" w:color="FFFFFF" w:sz="0"/>
                <w:bottom w:val="none" w:color="FFFFFF" w:sz="0"/>
                <w:right w:val="none" w:color="FFFFFF" w:sz="0"/>
                <w:insideH w:val="none" w:color="FFFFFF" w:sz="0"/>
                <w:insideV w:val="none" w:color="FFFFFF" w:sz="0"/>
              </w:tblBorders>
            </w:tblPr>
            <w:tblGrid>
              <w:gridCol w:w="3000"/>
              <w:gridCol w:w="7000"/>
            </w:tblGrid>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Inter" w:cs="Inter" w:eastAsia="Inter" w:hAnsi="Inter"/>
                      <w:b/>
                      <w:bCs/>
                      <w:color w:val="E8413A"/>
                      <w:spacing w:val="60"/>
                      <w:sz w:val="18"/>
                      <w:szCs w:val="18"/>
                    </w:rPr>
                    <w:t xml:space="preserve">CLIENTE</w:t>
                  </w:r>
                </w:p>
              </w:tc>
              <w:tc>
                <w:tcPr>
                  <w:tcW w:type="dxa" w:w="7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Inter" w:cs="Inter" w:eastAsia="Inter" w:hAnsi="Inter"/>
                      <w:color w:val="EAE7E0"/>
                      <w:sz w:val="22"/>
                      <w:szCs w:val="22"/>
                    </w:rPr>
                    <w:t xml:space="preserve">Pindia Software S.L. · Agencia de software a medida y diseño web (Bezana – Santander, Cantabria)</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Inter" w:cs="Inter" w:eastAsia="Inter" w:hAnsi="Inter"/>
                      <w:b/>
                      <w:bCs/>
                      <w:color w:val="E8413A"/>
                      <w:spacing w:val="60"/>
                      <w:sz w:val="18"/>
                      <w:szCs w:val="18"/>
                    </w:rPr>
                    <w:t xml:space="preserve">SECTOR</w:t>
                  </w:r>
                </w:p>
              </w:tc>
              <w:tc>
                <w:tcPr>
                  <w:tcW w:type="dxa" w:w="7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Inter" w:cs="Inter" w:eastAsia="Inter" w:hAnsi="Inter"/>
                      <w:color w:val="EAE7E0"/>
                      <w:sz w:val="22"/>
                      <w:szCs w:val="22"/>
                    </w:rPr>
                    <w:t xml:space="preserve">B2B servicios digitales — desarrollo a medida, diseño web, apps móviles e integraciones para empresas españolas, con foco regional en Cantabria</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Inter" w:cs="Inter" w:eastAsia="Inter" w:hAnsi="Inter"/>
                      <w:b/>
                      <w:bCs/>
                      <w:color w:val="E8413A"/>
                      <w:spacing w:val="60"/>
                      <w:sz w:val="18"/>
                      <w:szCs w:val="18"/>
                    </w:rPr>
                    <w:t xml:space="preserve">JURISDICCIÓN</w:t>
                  </w:r>
                </w:p>
              </w:tc>
              <w:tc>
                <w:tcPr>
                  <w:tcW w:type="dxa" w:w="7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Inter" w:cs="Inter" w:eastAsia="Inter" w:hAnsi="Inter"/>
                      <w:color w:val="EAE7E0"/>
                      <w:sz w:val="22"/>
                      <w:szCs w:val="22"/>
                    </w:rPr>
                    <w:t xml:space="preserve">España / UE — RGPD, LOPDGDD, LSSI-CE y criterios AEPD</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Inter" w:cs="Inter" w:eastAsia="Inter" w:hAnsi="Inter"/>
                      <w:b/>
                      <w:bCs/>
                      <w:color w:val="E8413A"/>
                      <w:spacing w:val="60"/>
                      <w:sz w:val="18"/>
                      <w:szCs w:val="18"/>
                    </w:rPr>
                    <w:t xml:space="preserve">PLATAFORMA</w:t>
                  </w:r>
                </w:p>
              </w:tc>
              <w:tc>
                <w:tcPr>
                  <w:tcW w:type="dxa" w:w="7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Inter" w:cs="Inter" w:eastAsia="Inter" w:hAnsi="Inter"/>
                      <w:color w:val="EAE7E0"/>
                      <w:sz w:val="22"/>
                      <w:szCs w:val="22"/>
                    </w:rPr>
                    <w:t xml:space="preserve">Stack propio HTML/CSS/JavaScript vanilla con build pipeline Node, desplegado en GitHub Pages</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Inter" w:cs="Inter" w:eastAsia="Inter" w:hAnsi="Inter"/>
                      <w:b/>
                      <w:bCs/>
                      <w:color w:val="E8413A"/>
                      <w:spacing w:val="60"/>
                      <w:sz w:val="18"/>
                      <w:szCs w:val="18"/>
                    </w:rPr>
                    <w:t xml:space="preserve">FECHA</w:t>
                  </w:r>
                </w:p>
              </w:tc>
              <w:tc>
                <w:tcPr>
                  <w:tcW w:type="dxa" w:w="7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Inter" w:cs="Inter" w:eastAsia="Inter" w:hAnsi="Inter"/>
                      <w:color w:val="EAE7E0"/>
                      <w:sz w:val="22"/>
                      <w:szCs w:val="22"/>
                    </w:rPr>
                    <w:t xml:space="preserve">1 de mayo de 2026 (cuarta pasada del día — referencia interna _04)</w:t>
                  </w:r>
                </w:p>
              </w:tc>
            </w:tr>
            <w:tr>
              <w:tc>
                <w:tcPr>
                  <w:tcW w:type="dxa" w:w="30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Inter" w:cs="Inter" w:eastAsia="Inter" w:hAnsi="Inter"/>
                      <w:b/>
                      <w:bCs/>
                      <w:color w:val="E8413A"/>
                      <w:spacing w:val="60"/>
                      <w:sz w:val="18"/>
                      <w:szCs w:val="18"/>
                    </w:rPr>
                    <w:t xml:space="preserve">AUDITOR</w:t>
                  </w:r>
                </w:p>
              </w:tc>
              <w:tc>
                <w:tcPr>
                  <w:tcW w:type="dxa" w:w="7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Inter" w:cs="Inter" w:eastAsia="Inter" w:hAnsi="Inter"/>
                      <w:color w:val="EAE7E0"/>
                      <w:sz w:val="22"/>
                      <w:szCs w:val="22"/>
                    </w:rPr>
                    <w:t xml:space="preserve">Pindia</w:t>
                  </w:r>
                </w:p>
              </w:tc>
            </w:tr>
          </w:tbl>
          <w:p/>
        </w:tc>
      </w:tr>
    </w:tbl>
    <w:p>
      <w:pPr>
        <w:sectPr>
          <w:pgSz w:w="12240" w:h="15840" w:orient="portrait"/>
          <w:pgMar w:top="0" w:right="0" w:bottom="0" w:left="0" w:header="0" w:footer="0" w:gutter="0"/>
          <w:pgNumType/>
          <w:docGrid w:linePitch="360"/>
        </w:sectPr>
      </w:pPr>
    </w:p>
    <w:p>
      <w:pPr>
        <w:pageBreakBefore/>
      </w:pPr>
      <w:r>
        <w:rPr>
          <w:rFonts w:ascii="Inter" w:cs="Inter" w:eastAsia="Inter" w:hAnsi="Inter"/>
        </w:rPr>
        <w:t xml:space="preserve"/>
      </w:r>
    </w:p>
    <w:p>
      <w:pPr>
        <w:pStyle w:val="Heading1"/>
        <w:pBdr>
          <w:bottom w:val="single" w:color="E8413A" w:sz="12" w:space="6"/>
        </w:pBdr>
        <w:spacing w:after="200" w:before="360"/>
      </w:pPr>
      <w:r>
        <w:rPr>
          <w:rFonts w:ascii="Inter" w:cs="Inter" w:eastAsia="Inter" w:hAnsi="Inter"/>
          <w:b/>
          <w:bCs/>
          <w:color w:val="22293E"/>
          <w:sz w:val="36"/>
          <w:szCs w:val="36"/>
        </w:rPr>
        <w:t xml:space="preserve">Resumen ejecutivo</w:t>
      </w:r>
    </w:p>
    <w:p>
      <w:pPr>
        <w:spacing w:after="200" w:before="200"/>
      </w:pPr>
      <w:r>
        <w:rPr>
          <w:rFonts w:ascii="Inter" w:cs="Inter" w:eastAsia="Inter" w:hAnsi="Inter"/>
          <w:color w:val="5C6478"/>
          <w:sz w:val="22"/>
          <w:szCs w:val="22"/>
        </w:rPr>
        <w:t xml:space="preserve">Puntuación global  </w:t>
      </w:r>
      <w:r>
        <w:rPr>
          <w:rFonts w:ascii="Inter" w:cs="Inter" w:eastAsia="Inter" w:hAnsi="Inter"/>
          <w:b/>
          <w:bCs/>
          <w:color w:val="E8413A"/>
          <w:sz w:val="80"/>
          <w:szCs w:val="80"/>
        </w:rPr>
        <w:t xml:space="preserve">8,4</w:t>
      </w:r>
      <w:r>
        <w:rPr>
          <w:rFonts w:ascii="Inter" w:cs="Inter" w:eastAsia="Inter" w:hAnsi="Inter"/>
          <w:b/>
          <w:bCs/>
          <w:color w:val="22293E"/>
          <w:sz w:val="36"/>
          <w:szCs w:val="36"/>
        </w:rPr>
        <w:t xml:space="preserve"> / 10</w:t>
      </w:r>
    </w:p>
    <w:p>
      <w:pPr>
        <w:spacing w:after="120" w:line="320"/>
      </w:pPr>
      <w:r>
        <w:rPr>
          <w:rFonts w:ascii="Inter" w:cs="Inter" w:eastAsia="Inter" w:hAnsi="Inter"/>
          <w:color w:val="22293E"/>
          <w:sz w:val="22"/>
          <w:szCs w:val="22"/>
        </w:rPr>
        <w:t xml:space="preserve">Cuarta pasada del día y el sitio sigue moviéndose en la dirección correcta. Desde 03 se ha incorporado un bloque de testimonio real con nombre, cargo y empresa (José María Rodríguez, CEO · 4Beats Solutions) en la home, lo cual cierra parcialmente el hallazgo de 'falta de prueba social' que llevaba abierto desde 01. También llama la atención que el hero estrena un typewriter cíclico que rota tres propuestas de valor — 'Diseñamos presencia.', 'Desarrollamos soluciones.', 'Digitalizamos empresas.' — con subtítulo distinto para cada una. Es un cambio de copy notable que diversifica el ángulo comercial del above-the-fold sin tocar el branding. El resto del cuadro sigue como en 03: cumplimiento legal cerrado (URLs limpias coherentes en footer/banner/sitemap, encargados del tratamiento nombrados, banner AEPD-compliant), SEO técnico sólido, accesibilidad de imágenes corregida, y el hero scroll-canvas en su lugar correcto — nota de consumo de datos, no fallo de Core Web Vitals.</w:t>
      </w:r>
    </w:p>
    <w:p>
      <w:pPr>
        <w:spacing w:after="160"/>
      </w:pPr>
      <w:r>
        <w:rPr>
          <w:rFonts w:ascii="Inter" w:cs="Inter" w:eastAsia="Inter" w:hAnsi="Inter"/>
        </w:rPr>
        <w:t xml:space="preserve"/>
      </w:r>
    </w:p>
    <w:p>
      <w:pPr>
        <w:pStyle w:val="Heading3"/>
        <w:spacing w:after="80" w:before="200"/>
      </w:pPr>
      <w:r>
        <w:rPr>
          <w:rFonts w:ascii="Inter" w:cs="Inter" w:eastAsia="Inter" w:hAnsi="Inter"/>
          <w:b/>
          <w:bCs/>
          <w:color w:val="22293E"/>
          <w:sz w:val="24"/>
          <w:szCs w:val="24"/>
        </w:rPr>
        <w:t xml:space="preserve">Puntuación por área</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00"/>
        <w:gridCol w:w="3360"/>
      </w:tblGrid>
      <w:tr>
        <w:trPr>
          <w:tblHeader/>
        </w:trPr>
        <w:tc>
          <w:tcPr>
            <w:tcW w:type="dxa" w:w="6000"/>
            <w:tcBorders>
              <w:top w:val="none" w:color="FFFFFF" w:sz="0"/>
              <w:left w:val="none" w:color="FFFFFF" w:sz="0"/>
              <w:bottom w:val="none" w:color="FFFFFF" w:sz="0"/>
              <w:right w:val="none" w:color="FFFFFF" w:sz="0"/>
            </w:tcBorders>
            <w:shd w:fill="22293E" w:color="auto" w:val="clear"/>
            <w:tcMar>
              <w:top w:type="dxa" w:w="100"/>
              <w:left w:type="dxa" w:w="200"/>
              <w:bottom w:type="dxa" w:w="100"/>
              <w:right w:type="dxa" w:w="200"/>
            </w:tcMar>
          </w:tcPr>
          <w:p>
            <w:r>
              <w:rPr>
                <w:rFonts w:ascii="Inter" w:cs="Inter" w:eastAsia="Inter" w:hAnsi="Inter"/>
                <w:b/>
                <w:bCs/>
                <w:color w:val="EAE7E0"/>
                <w:spacing w:val="60"/>
                <w:sz w:val="20"/>
                <w:szCs w:val="20"/>
              </w:rPr>
              <w:t xml:space="preserve">ÁREA</w:t>
            </w:r>
          </w:p>
        </w:tc>
        <w:tc>
          <w:tcPr>
            <w:tcW w:type="dxa" w:w="3360"/>
            <w:tcBorders>
              <w:top w:val="none" w:color="FFFFFF" w:sz="0"/>
              <w:left w:val="none" w:color="FFFFFF" w:sz="0"/>
              <w:bottom w:val="none" w:color="FFFFFF" w:sz="0"/>
              <w:right w:val="none" w:color="FFFFFF" w:sz="0"/>
            </w:tcBorders>
            <w:shd w:fill="22293E" w:color="auto" w:val="clear"/>
            <w:tcMar>
              <w:top w:type="dxa" w:w="100"/>
              <w:left w:type="dxa" w:w="200"/>
              <w:bottom w:type="dxa" w:w="100"/>
              <w:right w:type="dxa" w:w="200"/>
            </w:tcMar>
          </w:tcPr>
          <w:p>
            <w:pPr>
              <w:jc w:val="right"/>
            </w:pPr>
            <w:r>
              <w:rPr>
                <w:rFonts w:ascii="Inter" w:cs="Inter" w:eastAsia="Inter" w:hAnsi="Inter"/>
                <w:b/>
                <w:bCs/>
                <w:color w:val="EAE7E0"/>
                <w:spacing w:val="60"/>
                <w:sz w:val="20"/>
                <w:szCs w:val="20"/>
              </w:rPr>
              <w:t xml:space="preserve">PUNTUACIÓN</w:t>
            </w:r>
          </w:p>
        </w:tc>
      </w:tr>
      <w:tr>
        <w:tc>
          <w:tcPr>
            <w:tcW w:type="dxa" w:w="6000"/>
            <w:tcBorders>
              <w:top w:val="none" w:color="FFFFFF" w:sz="0"/>
              <w:left w:val="none" w:color="FFFFFF" w:sz="0"/>
              <w:bottom w:val="single" w:color="D9DCE2" w:sz="4"/>
              <w:right w:val="none" w:color="FFFFFF" w:sz="0"/>
            </w:tcBorders>
            <w:shd w:fill="FFFFFF" w:color="auto" w:val="clear"/>
            <w:tcMar>
              <w:top w:type="dxa" w:w="100"/>
              <w:left w:type="dxa" w:w="200"/>
              <w:bottom w:type="dxa" w:w="100"/>
              <w:right w:type="dxa" w:w="200"/>
            </w:tcMar>
          </w:tcPr>
          <w:p>
            <w:r>
              <w:rPr>
                <w:rFonts w:ascii="Inter" w:cs="Inter" w:eastAsia="Inter" w:hAnsi="Inter"/>
                <w:color w:val="22293E"/>
                <w:sz w:val="22"/>
                <w:szCs w:val="22"/>
              </w:rPr>
              <w:t xml:space="preserve">Diseño visual y branding</w:t>
            </w:r>
          </w:p>
        </w:tc>
        <w:tc>
          <w:tcPr>
            <w:tcW w:type="dxa" w:w="3360"/>
            <w:tcBorders>
              <w:top w:val="none" w:color="FFFFFF" w:sz="0"/>
              <w:left w:val="none" w:color="FFFFFF" w:sz="0"/>
              <w:bottom w:val="single" w:color="D9DCE2" w:sz="4"/>
              <w:right w:val="none" w:color="FFFFFF" w:sz="0"/>
            </w:tcBorders>
            <w:shd w:fill="FFFFFF" w:color="auto" w:val="clear"/>
            <w:tcMar>
              <w:top w:type="dxa" w:w="100"/>
              <w:left w:type="dxa" w:w="200"/>
              <w:bottom w:type="dxa" w:w="100"/>
              <w:right w:type="dxa" w:w="200"/>
            </w:tcMar>
          </w:tcPr>
          <w:p>
            <w:pPr>
              <w:jc w:val="right"/>
            </w:pPr>
            <w:r>
              <w:rPr>
                <w:rFonts w:ascii="Inter" w:cs="Inter" w:eastAsia="Inter" w:hAnsi="Inter"/>
                <w:b w:val="false"/>
                <w:bCs w:val="false"/>
                <w:color w:val="22293E"/>
                <w:sz w:val="22"/>
                <w:szCs w:val="22"/>
              </w:rPr>
              <w:t xml:space="preserve">9 / 10</w:t>
            </w:r>
          </w:p>
        </w:tc>
      </w:tr>
      <w:tr>
        <w:tc>
          <w:tcPr>
            <w:tcW w:type="dxa" w:w="6000"/>
            <w:tcBorders>
              <w:top w:val="none" w:color="FFFFFF" w:sz="0"/>
              <w:left w:val="none" w:color="FFFFFF" w:sz="0"/>
              <w:bottom w:val="single" w:color="D9DCE2" w:sz="4"/>
              <w:right w:val="none" w:color="FFFFFF" w:sz="0"/>
            </w:tcBorders>
            <w:shd w:fill="F4F5F7" w:color="auto" w:val="clear"/>
            <w:tcMar>
              <w:top w:type="dxa" w:w="100"/>
              <w:left w:type="dxa" w:w="200"/>
              <w:bottom w:type="dxa" w:w="100"/>
              <w:right w:type="dxa" w:w="200"/>
            </w:tcMar>
          </w:tcPr>
          <w:p>
            <w:r>
              <w:rPr>
                <w:rFonts w:ascii="Inter" w:cs="Inter" w:eastAsia="Inter" w:hAnsi="Inter"/>
                <w:color w:val="22293E"/>
                <w:sz w:val="22"/>
                <w:szCs w:val="22"/>
              </w:rPr>
              <w:t xml:space="preserve">UX y arquitectura de información</w:t>
            </w:r>
          </w:p>
        </w:tc>
        <w:tc>
          <w:tcPr>
            <w:tcW w:type="dxa" w:w="3360"/>
            <w:tcBorders>
              <w:top w:val="none" w:color="FFFFFF" w:sz="0"/>
              <w:left w:val="none" w:color="FFFFFF" w:sz="0"/>
              <w:bottom w:val="single" w:color="D9DCE2" w:sz="4"/>
              <w:right w:val="none" w:color="FFFFFF" w:sz="0"/>
            </w:tcBorders>
            <w:shd w:fill="F4F5F7" w:color="auto" w:val="clear"/>
            <w:tcMar>
              <w:top w:type="dxa" w:w="100"/>
              <w:left w:type="dxa" w:w="200"/>
              <w:bottom w:type="dxa" w:w="100"/>
              <w:right w:type="dxa" w:w="200"/>
            </w:tcMar>
          </w:tcPr>
          <w:p>
            <w:pPr>
              <w:jc w:val="right"/>
            </w:pPr>
            <w:r>
              <w:rPr>
                <w:rFonts w:ascii="Inter" w:cs="Inter" w:eastAsia="Inter" w:hAnsi="Inter"/>
                <w:b w:val="false"/>
                <w:bCs w:val="false"/>
                <w:color w:val="22293E"/>
                <w:sz w:val="22"/>
                <w:szCs w:val="22"/>
              </w:rPr>
              <w:t xml:space="preserve">8 / 10</w:t>
            </w:r>
          </w:p>
        </w:tc>
      </w:tr>
      <w:tr>
        <w:tc>
          <w:tcPr>
            <w:tcW w:type="dxa" w:w="6000"/>
            <w:tcBorders>
              <w:top w:val="none" w:color="FFFFFF" w:sz="0"/>
              <w:left w:val="none" w:color="FFFFFF" w:sz="0"/>
              <w:bottom w:val="single" w:color="D9DCE2" w:sz="4"/>
              <w:right w:val="none" w:color="FFFFFF" w:sz="0"/>
            </w:tcBorders>
            <w:shd w:fill="FFFFFF" w:color="auto" w:val="clear"/>
            <w:tcMar>
              <w:top w:type="dxa" w:w="100"/>
              <w:left w:type="dxa" w:w="200"/>
              <w:bottom w:type="dxa" w:w="100"/>
              <w:right w:type="dxa" w:w="200"/>
            </w:tcMar>
          </w:tcPr>
          <w:p>
            <w:r>
              <w:rPr>
                <w:rFonts w:ascii="Inter" w:cs="Inter" w:eastAsia="Inter" w:hAnsi="Inter"/>
                <w:color w:val="22293E"/>
                <w:sz w:val="22"/>
                <w:szCs w:val="22"/>
              </w:rPr>
              <w:t xml:space="preserve">Usabilidad técnica y rendimiento</w:t>
            </w:r>
          </w:p>
        </w:tc>
        <w:tc>
          <w:tcPr>
            <w:tcW w:type="dxa" w:w="3360"/>
            <w:tcBorders>
              <w:top w:val="none" w:color="FFFFFF" w:sz="0"/>
              <w:left w:val="none" w:color="FFFFFF" w:sz="0"/>
              <w:bottom w:val="single" w:color="D9DCE2" w:sz="4"/>
              <w:right w:val="none" w:color="FFFFFF" w:sz="0"/>
            </w:tcBorders>
            <w:shd w:fill="FFFFFF" w:color="auto" w:val="clear"/>
            <w:tcMar>
              <w:top w:type="dxa" w:w="100"/>
              <w:left w:type="dxa" w:w="200"/>
              <w:bottom w:type="dxa" w:w="100"/>
              <w:right w:type="dxa" w:w="200"/>
            </w:tcMar>
          </w:tcPr>
          <w:p>
            <w:pPr>
              <w:jc w:val="right"/>
            </w:pPr>
            <w:r>
              <w:rPr>
                <w:rFonts w:ascii="Inter" w:cs="Inter" w:eastAsia="Inter" w:hAnsi="Inter"/>
                <w:b w:val="false"/>
                <w:bCs w:val="false"/>
                <w:color w:val="22293E"/>
                <w:sz w:val="22"/>
                <w:szCs w:val="22"/>
              </w:rPr>
              <w:t xml:space="preserve">8 / 10</w:t>
            </w:r>
          </w:p>
        </w:tc>
      </w:tr>
      <w:tr>
        <w:tc>
          <w:tcPr>
            <w:tcW w:type="dxa" w:w="6000"/>
            <w:tcBorders>
              <w:top w:val="none" w:color="FFFFFF" w:sz="0"/>
              <w:left w:val="none" w:color="FFFFFF" w:sz="0"/>
              <w:bottom w:val="single" w:color="D9DCE2" w:sz="4"/>
              <w:right w:val="none" w:color="FFFFFF" w:sz="0"/>
            </w:tcBorders>
            <w:shd w:fill="F4F5F7" w:color="auto" w:val="clear"/>
            <w:tcMar>
              <w:top w:type="dxa" w:w="100"/>
              <w:left w:type="dxa" w:w="200"/>
              <w:bottom w:type="dxa" w:w="100"/>
              <w:right w:type="dxa" w:w="200"/>
            </w:tcMar>
          </w:tcPr>
          <w:p>
            <w:r>
              <w:rPr>
                <w:rFonts w:ascii="Inter" w:cs="Inter" w:eastAsia="Inter" w:hAnsi="Inter"/>
                <w:color w:val="22293E"/>
                <w:sz w:val="22"/>
                <w:szCs w:val="22"/>
              </w:rPr>
              <w:t xml:space="preserve">SEO básico on-page</w:t>
            </w:r>
          </w:p>
        </w:tc>
        <w:tc>
          <w:tcPr>
            <w:tcW w:type="dxa" w:w="3360"/>
            <w:tcBorders>
              <w:top w:val="none" w:color="FFFFFF" w:sz="0"/>
              <w:left w:val="none" w:color="FFFFFF" w:sz="0"/>
              <w:bottom w:val="single" w:color="D9DCE2" w:sz="4"/>
              <w:right w:val="none" w:color="FFFFFF" w:sz="0"/>
            </w:tcBorders>
            <w:shd w:fill="F4F5F7" w:color="auto" w:val="clear"/>
            <w:tcMar>
              <w:top w:type="dxa" w:w="100"/>
              <w:left w:type="dxa" w:w="200"/>
              <w:bottom w:type="dxa" w:w="100"/>
              <w:right w:type="dxa" w:w="200"/>
            </w:tcMar>
          </w:tcPr>
          <w:p>
            <w:pPr>
              <w:jc w:val="right"/>
            </w:pPr>
            <w:r>
              <w:rPr>
                <w:rFonts w:ascii="Inter" w:cs="Inter" w:eastAsia="Inter" w:hAnsi="Inter"/>
                <w:b w:val="false"/>
                <w:bCs w:val="false"/>
                <w:color w:val="22293E"/>
                <w:sz w:val="22"/>
                <w:szCs w:val="22"/>
              </w:rPr>
              <w:t xml:space="preserve">9 / 10</w:t>
            </w:r>
          </w:p>
        </w:tc>
      </w:tr>
      <w:tr>
        <w:tc>
          <w:tcPr>
            <w:tcW w:type="dxa" w:w="6000"/>
            <w:tcBorders>
              <w:top w:val="none" w:color="FFFFFF" w:sz="0"/>
              <w:left w:val="none" w:color="FFFFFF" w:sz="0"/>
              <w:bottom w:val="single" w:color="D9DCE2" w:sz="4"/>
              <w:right w:val="none" w:color="FFFFFF" w:sz="0"/>
            </w:tcBorders>
            <w:shd w:fill="FFFFFF" w:color="auto" w:val="clear"/>
            <w:tcMar>
              <w:top w:type="dxa" w:w="100"/>
              <w:left w:type="dxa" w:w="200"/>
              <w:bottom w:type="dxa" w:w="100"/>
              <w:right w:type="dxa" w:w="200"/>
            </w:tcMar>
          </w:tcPr>
          <w:p>
            <w:r>
              <w:rPr>
                <w:rFonts w:ascii="Inter" w:cs="Inter" w:eastAsia="Inter" w:hAnsi="Inter"/>
                <w:color w:val="22293E"/>
                <w:sz w:val="22"/>
                <w:szCs w:val="22"/>
              </w:rPr>
              <w:t xml:space="preserve">Cumplimiento legal</w:t>
            </w:r>
          </w:p>
        </w:tc>
        <w:tc>
          <w:tcPr>
            <w:tcW w:type="dxa" w:w="3360"/>
            <w:tcBorders>
              <w:top w:val="none" w:color="FFFFFF" w:sz="0"/>
              <w:left w:val="none" w:color="FFFFFF" w:sz="0"/>
              <w:bottom w:val="single" w:color="D9DCE2" w:sz="4"/>
              <w:right w:val="none" w:color="FFFFFF" w:sz="0"/>
            </w:tcBorders>
            <w:shd w:fill="FFFFFF" w:color="auto" w:val="clear"/>
            <w:tcMar>
              <w:top w:type="dxa" w:w="100"/>
              <w:left w:type="dxa" w:w="200"/>
              <w:bottom w:type="dxa" w:w="100"/>
              <w:right w:type="dxa" w:w="200"/>
            </w:tcMar>
          </w:tcPr>
          <w:p>
            <w:pPr>
              <w:jc w:val="right"/>
            </w:pPr>
            <w:r>
              <w:rPr>
                <w:rFonts w:ascii="Inter" w:cs="Inter" w:eastAsia="Inter" w:hAnsi="Inter"/>
                <w:b w:val="false"/>
                <w:bCs w:val="false"/>
                <w:color w:val="22293E"/>
                <w:sz w:val="22"/>
                <w:szCs w:val="22"/>
              </w:rPr>
              <w:t xml:space="preserve">9 / 10</w:t>
            </w:r>
          </w:p>
        </w:tc>
      </w:tr>
      <w:tr>
        <w:tc>
          <w:tcPr>
            <w:tcW w:type="dxa" w:w="6000"/>
            <w:tcBorders>
              <w:top w:val="none" w:color="FFFFFF" w:sz="0"/>
              <w:left w:val="none" w:color="FFFFFF" w:sz="0"/>
              <w:bottom w:val="single" w:color="D9DCE2" w:sz="4"/>
              <w:right w:val="none" w:color="FFFFFF" w:sz="0"/>
            </w:tcBorders>
            <w:shd w:fill="F4F5F7" w:color="auto" w:val="clear"/>
            <w:tcMar>
              <w:top w:type="dxa" w:w="100"/>
              <w:left w:type="dxa" w:w="200"/>
              <w:bottom w:type="dxa" w:w="100"/>
              <w:right w:type="dxa" w:w="200"/>
            </w:tcMar>
          </w:tcPr>
          <w:p>
            <w:r>
              <w:rPr>
                <w:rFonts w:ascii="Inter" w:cs="Inter" w:eastAsia="Inter" w:hAnsi="Inter"/>
                <w:color w:val="22293E"/>
                <w:sz w:val="22"/>
                <w:szCs w:val="22"/>
              </w:rPr>
              <w:t xml:space="preserve">Conversión y confianza</w:t>
            </w:r>
          </w:p>
        </w:tc>
        <w:tc>
          <w:tcPr>
            <w:tcW w:type="dxa" w:w="3360"/>
            <w:tcBorders>
              <w:top w:val="none" w:color="FFFFFF" w:sz="0"/>
              <w:left w:val="none" w:color="FFFFFF" w:sz="0"/>
              <w:bottom w:val="single" w:color="D9DCE2" w:sz="4"/>
              <w:right w:val="none" w:color="FFFFFF" w:sz="0"/>
            </w:tcBorders>
            <w:shd w:fill="F4F5F7" w:color="auto" w:val="clear"/>
            <w:tcMar>
              <w:top w:type="dxa" w:w="100"/>
              <w:left w:type="dxa" w:w="200"/>
              <w:bottom w:type="dxa" w:w="100"/>
              <w:right w:type="dxa" w:w="200"/>
            </w:tcMar>
          </w:tcPr>
          <w:p>
            <w:pPr>
              <w:jc w:val="right"/>
            </w:pPr>
            <w:r>
              <w:rPr>
                <w:rFonts w:ascii="Inter" w:cs="Inter" w:eastAsia="Inter" w:hAnsi="Inter"/>
                <w:b/>
                <w:bCs/>
                <w:color w:val="E8413A"/>
                <w:sz w:val="22"/>
                <w:szCs w:val="22"/>
              </w:rPr>
              <w:t xml:space="preserve">8,5 / 10</w:t>
            </w:r>
          </w:p>
        </w:tc>
      </w:tr>
    </w:tbl>
    <w:p>
      <w:pPr>
        <w:spacing w:after="160"/>
      </w:pPr>
      <w:r>
        <w:rPr>
          <w:rFonts w:ascii="Inter" w:cs="Inter" w:eastAsia="Inter" w:hAnsi="Inter"/>
        </w:rPr>
        <w:t xml:space="preserve"/>
      </w:r>
    </w:p>
    <w:p>
      <w:pPr>
        <w:pStyle w:val="Heading3"/>
        <w:spacing w:after="80" w:before="200"/>
      </w:pPr>
      <w:r>
        <w:rPr>
          <w:rFonts w:ascii="Inter" w:cs="Inter" w:eastAsia="Inter" w:hAnsi="Inter"/>
          <w:b/>
          <w:bCs/>
          <w:color w:val="22293E"/>
          <w:sz w:val="24"/>
          <w:szCs w:val="24"/>
        </w:rPr>
        <w:t xml:space="preserve">Top 3 fortalezas</w:t>
      </w:r>
    </w:p>
    <w:p>
      <w:pPr>
        <w:pStyle w:val="ListParagraph"/>
        <w:numPr>
          <w:ilvl w:val="0"/>
          <w:numId w:val="2"/>
        </w:numPr>
        <w:spacing w:after="80" w:line="300"/>
      </w:pPr>
      <w:r>
        <w:rPr>
          <w:rFonts w:ascii="Inter" w:cs="Inter" w:eastAsia="Inter" w:hAnsi="Inter"/>
          <w:color w:val="22293E"/>
          <w:sz w:val="22"/>
          <w:szCs w:val="22"/>
        </w:rPr>
        <w:t xml:space="preserve">Testimonio real con identificación, en home y above-the-fold del bloque de confianza. 'Gran talento técnico y un compromiso diferenciador. Pindia entendió nuestras necesidades desde el primer día y entregó más de lo que esperábamos.' — José María Rodríguez, CEO · 4Beats Solutions. Con nombre y empresa real, no genérico. Es el tipo de prueba social que un comprador B2B busca antes de pedir presupuesto.</w:t>
      </w:r>
    </w:p>
    <w:p>
      <w:pPr>
        <w:pStyle w:val="ListParagraph"/>
        <w:numPr>
          <w:ilvl w:val="0"/>
          <w:numId w:val="2"/>
        </w:numPr>
        <w:spacing w:after="80" w:line="300"/>
      </w:pPr>
      <w:r>
        <w:rPr>
          <w:rFonts w:ascii="Inter" w:cs="Inter" w:eastAsia="Inter" w:hAnsi="Inter"/>
          <w:color w:val="22293E"/>
          <w:sz w:val="22"/>
          <w:szCs w:val="22"/>
        </w:rPr>
        <w:t xml:space="preserve">Hero dinámico con tres propuestas de valor. El typewriter cicla 'Diseñamos presencia.', 'Desarrollamos soluciones.', 'Digitalizamos empresas.' con un subtítulo coherente para cada uno — diversifica el ángulo del above-the-fold según el visitante (web, software, transformación digital). Bien ejecutado, sin penalizar legibilidad.</w:t>
      </w:r>
    </w:p>
    <w:p>
      <w:pPr>
        <w:pStyle w:val="ListParagraph"/>
        <w:numPr>
          <w:ilvl w:val="0"/>
          <w:numId w:val="2"/>
        </w:numPr>
        <w:spacing w:after="80" w:line="300"/>
      </w:pPr>
      <w:r>
        <w:rPr>
          <w:rFonts w:ascii="Inter" w:cs="Inter" w:eastAsia="Inter" w:hAnsi="Inter"/>
          <w:color w:val="22293E"/>
          <w:sz w:val="22"/>
          <w:szCs w:val="22"/>
        </w:rPr>
        <w:t xml:space="preserve">Cumplimiento legal y SEO técnico siguen consolidados. Tres páginas legales en URL limpia (200), banner con triple botón al mismo nivel, formulario con consentimiento, política de privacidad nombrando Formspree y Google Analytics 4 con base legal de transferencia internacional (DPF UE-EE.UU.). Cuatro JSON-LD activos, sitemap.xml limpio (41 URLs, todas 200), robots.txt apuntando al sitemap.</w:t>
      </w:r>
    </w:p>
    <w:p>
      <w:pPr>
        <w:spacing w:after="160"/>
      </w:pPr>
      <w:r>
        <w:rPr>
          <w:rFonts w:ascii="Inter" w:cs="Inter" w:eastAsia="Inter" w:hAnsi="Inter"/>
        </w:rPr>
        <w:t xml:space="preserve"/>
      </w:r>
    </w:p>
    <w:p>
      <w:pPr>
        <w:pStyle w:val="Heading3"/>
        <w:spacing w:after="80" w:before="200"/>
      </w:pPr>
      <w:r>
        <w:rPr>
          <w:rFonts w:ascii="Inter" w:cs="Inter" w:eastAsia="Inter" w:hAnsi="Inter"/>
          <w:b/>
          <w:bCs/>
          <w:color w:val="22293E"/>
          <w:sz w:val="24"/>
          <w:szCs w:val="24"/>
        </w:rPr>
        <w:t xml:space="preserve">Top 3 problemas críticos</w:t>
      </w:r>
    </w:p>
    <w:p>
      <w:pPr>
        <w:pStyle w:val="ListParagraph"/>
        <w:numPr>
          <w:ilvl w:val="0"/>
          <w:numId w:val="3"/>
        </w:numPr>
        <w:spacing w:after="80" w:line="300"/>
      </w:pPr>
      <w:r>
        <w:rPr>
          <w:rFonts w:ascii="Inter" w:cs="Inter" w:eastAsia="Inter" w:hAnsi="Inter"/>
          <w:color w:val="22293E"/>
          <w:sz w:val="22"/>
          <w:szCs w:val="22"/>
        </w:rPr>
        <w:t xml:space="preserve">Falta LocalBusiness schema y sameAs en el JSON-LD. Sin cambios desde 01. Pindia tiene sede física en Bezana, horario público y radio comercial regional ('Cantabria y España'); sin LocalBusiness se desperdicia Google Local SEO, sin sameAs se desperdicia E-E-A-T. Es la palanca de mayor retorno entre lo que queda.</w:t>
      </w:r>
    </w:p>
    <w:p>
      <w:pPr>
        <w:pStyle w:val="ListParagraph"/>
        <w:numPr>
          <w:ilvl w:val="0"/>
          <w:numId w:val="3"/>
        </w:numPr>
        <w:spacing w:after="80" w:line="300"/>
      </w:pPr>
      <w:r>
        <w:rPr>
          <w:rFonts w:ascii="Inter" w:cs="Inter" w:eastAsia="Inter" w:hAnsi="Inter"/>
          <w:color w:val="22293E"/>
          <w:sz w:val="22"/>
          <w:szCs w:val="22"/>
        </w:rPr>
        <w:t xml:space="preserve">Aún no hay KPIs cuantificados con números grandes en home. El testimonio sí está, las cifras concretas de la propia agencia ('+5.000 usuarios activos en TrowelApp', 'Lighthouse 100', '&lt;24 h respuesta') siguen sin destacar en el bloque 'Resultados que generan confianza'.</w:t>
      </w:r>
    </w:p>
    <w:p>
      <w:pPr>
        <w:pStyle w:val="ListParagraph"/>
        <w:numPr>
          <w:ilvl w:val="0"/>
          <w:numId w:val="3"/>
        </w:numPr>
        <w:spacing w:after="80" w:line="300"/>
      </w:pPr>
      <w:r>
        <w:rPr>
          <w:rFonts w:ascii="Inter" w:cs="Inter" w:eastAsia="Inter" w:hAnsi="Inter"/>
          <w:color w:val="22293E"/>
          <w:sz w:val="22"/>
          <w:szCs w:val="22"/>
        </w:rPr>
        <w:t xml:space="preserve">cookie-mascot.webp sigue sin aria-hidden. Las dos imágenes residuales sin alt son la mascota Pin del banner. Fix de medio minuto en src/partials/cookie-banner.html.</w:t>
      </w:r>
    </w:p>
    <w:p>
      <w:pPr>
        <w:spacing w:after="180"/>
      </w:pPr>
      <w:r>
        <w:rPr>
          <w:rFonts w:ascii="Inter" w:cs="Inter" w:eastAsia="Inter" w:hAnsi="Inter"/>
        </w:rPr>
        <w:t xml:space="preserve"/>
      </w:r>
    </w:p>
    <w:p>
      <w:pPr>
        <w:pStyle w:val="Heading3"/>
        <w:spacing w:after="80" w:before="200"/>
      </w:pPr>
      <w:r>
        <w:rPr>
          <w:rFonts w:ascii="Inter" w:cs="Inter" w:eastAsia="Inter" w:hAnsi="Inter"/>
          <w:b/>
          <w:bCs/>
          <w:color w:val="22293E"/>
          <w:sz w:val="24"/>
          <w:szCs w:val="24"/>
        </w:rPr>
        <w:t xml:space="preserve">Riesgo legal: Bajo</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32"/>
              <w:bottom w:val="none" w:color="FFFFFF" w:sz="0"/>
              <w:right w:val="none" w:color="FFFFFF" w:sz="0"/>
            </w:tcBorders>
            <w:shd w:fill="F4F5F7" w:color="auto" w:val="clear"/>
            <w:tcMar>
              <w:top w:type="dxa" w:w="200"/>
              <w:left w:type="dxa" w:w="240"/>
              <w:bottom w:type="dxa" w:w="200"/>
              <w:right w:type="dxa" w:w="240"/>
            </w:tcMar>
          </w:tcPr>
          <w:p>
            <w:pPr>
              <w:spacing w:line="320"/>
            </w:pPr>
            <w:r>
              <w:rPr>
                <w:rFonts w:ascii="Inter" w:cs="Inter" w:eastAsia="Inter" w:hAnsi="Inter"/>
                <w:b w:val="false"/>
                <w:bCs w:val="false"/>
                <w:i/>
                <w:iCs/>
                <w:color w:val="22293E"/>
                <w:sz w:val="22"/>
                <w:szCs w:val="22"/>
              </w:rPr>
              <w:t xml:space="preserve">Sin cambios desde 03. Las URLs legales coinciden entre footer, banner, sitemap y formulario. Los encargados del tratamiento están nombrados con base legal de transferencia internacional. La AEPD no tendría hallazgo material en una primera revisión razonable. Sigue pendiente decidir si añadir 301 redirects desde las versiones .html (ya no están en el sitemap, pero responden 404 si alguien las tiene en un PDF antiguo).</w:t>
            </w:r>
          </w:p>
        </w:tc>
      </w:tr>
    </w:tbl>
    <w:p>
      <w:pPr>
        <w:spacing w:after="120"/>
      </w:pPr>
      <w:r>
        <w:rPr>
          <w:rFonts w:ascii="Inter" w:cs="Inter" w:eastAsia="Inter" w:hAnsi="Inter"/>
        </w:rPr>
        <w:t xml:space="preserve"/>
      </w:r>
    </w:p>
    <w:p>
      <w:pPr>
        <w:spacing w:after="120" w:line="320"/>
      </w:pPr>
      <w:r>
        <w:rPr>
          <w:rFonts w:ascii="Inter" w:cs="Inter" w:eastAsia="Inter" w:hAnsi="Inter"/>
          <w:i/>
          <w:iCs/>
          <w:color w:val="5C6478"/>
          <w:sz w:val="20"/>
          <w:szCs w:val="20"/>
        </w:rPr>
        <w:t xml:space="preserve">No soy abogado. Este apartado es orientativo desde la práctica de auditoría web; para garantías formales se requiere revisión por profesional jurídico especializado en RGPD/AEPD.</w:t>
      </w:r>
    </w:p>
    <w:p>
      <w:pPr>
        <w:pageBreakBefore/>
      </w:pPr>
      <w:r>
        <w:rPr>
          <w:rFonts w:ascii="Inter" w:cs="Inter" w:eastAsia="Inter" w:hAnsi="Inter"/>
        </w:rPr>
        <w:t xml:space="preserve"/>
      </w:r>
    </w:p>
    <w:p>
      <w:pPr>
        <w:pStyle w:val="Heading1"/>
        <w:pBdr>
          <w:bottom w:val="single" w:color="E8413A" w:sz="12" w:space="6"/>
        </w:pBdr>
        <w:spacing w:after="200" w:before="360"/>
      </w:pPr>
      <w:r>
        <w:rPr>
          <w:rFonts w:ascii="Inter" w:cs="Inter" w:eastAsia="Inter" w:hAnsi="Inter"/>
          <w:b/>
          <w:bCs/>
          <w:color w:val="22293E"/>
          <w:sz w:val="36"/>
          <w:szCs w:val="36"/>
        </w:rPr>
        <w:t xml:space="preserve">Hallazgos detallados</w:t>
      </w:r>
    </w:p>
    <w:p>
      <w:pPr>
        <w:spacing w:after="120" w:line="320"/>
      </w:pPr>
      <w:r>
        <w:rPr>
          <w:rFonts w:ascii="Inter" w:cs="Inter" w:eastAsia="Inter" w:hAnsi="Inter"/>
          <w:color w:val="22293E"/>
          <w:sz w:val="22"/>
          <w:szCs w:val="22"/>
        </w:rPr>
        <w:t xml:space="preserve">Cada hallazgo se presenta con su nivel de prioridad, evidencia observada en directo y recomendación accionable. Los niveles de prioridad usados son: </w:t>
      </w:r>
      <w:r>
        <w:rPr>
          <w:rFonts w:ascii="Arial" w:cs="Arial" w:eastAsia="Arial" w:hAnsi="Arial"/>
          <w:b/>
          <w:bCs/>
          <w:color w:val="D32F2F"/>
          <w:sz w:val="22"/>
          <w:szCs w:val="22"/>
        </w:rPr>
        <w:t xml:space="preserve">● </w:t>
      </w:r>
      <w:r>
        <w:rPr>
          <w:rFonts w:ascii="Inter" w:cs="Inter" w:eastAsia="Inter" w:hAnsi="Inter"/>
          <w:color w:val="22293E"/>
          <w:sz w:val="22"/>
          <w:szCs w:val="22"/>
        </w:rPr>
        <w:t xml:space="preserve">Crítico (riesgo legal o sitio roto), </w:t>
      </w:r>
      <w:r>
        <w:rPr>
          <w:rFonts w:ascii="Arial" w:cs="Arial" w:eastAsia="Arial" w:hAnsi="Arial"/>
          <w:b/>
          <w:bCs/>
          <w:color w:val="EF6C00"/>
          <w:sz w:val="22"/>
          <w:szCs w:val="22"/>
        </w:rPr>
        <w:t xml:space="preserve">● </w:t>
      </w:r>
      <w:r>
        <w:rPr>
          <w:rFonts w:ascii="Inter" w:cs="Inter" w:eastAsia="Inter" w:hAnsi="Inter"/>
          <w:color w:val="22293E"/>
          <w:sz w:val="22"/>
          <w:szCs w:val="22"/>
        </w:rPr>
        <w:t xml:space="preserve">Alto (impacto claro en conversión o experiencia), </w:t>
      </w:r>
      <w:r>
        <w:rPr>
          <w:rFonts w:ascii="Arial" w:cs="Arial" w:eastAsia="Arial" w:hAnsi="Arial"/>
          <w:b/>
          <w:bCs/>
          <w:color w:val="F9A825"/>
          <w:sz w:val="22"/>
          <w:szCs w:val="22"/>
        </w:rPr>
        <w:t xml:space="preserve">● </w:t>
      </w:r>
      <w:r>
        <w:rPr>
          <w:rFonts w:ascii="Inter" w:cs="Inter" w:eastAsia="Inter" w:hAnsi="Inter"/>
          <w:color w:val="22293E"/>
          <w:sz w:val="22"/>
          <w:szCs w:val="22"/>
        </w:rPr>
        <w:t xml:space="preserve">Medio (mejora notable pero no urgente), </w:t>
      </w:r>
      <w:r>
        <w:rPr>
          <w:rFonts w:ascii="Arial" w:cs="Arial" w:eastAsia="Arial" w:hAnsi="Arial"/>
          <w:b/>
          <w:bCs/>
          <w:color w:val="388E3C"/>
          <w:sz w:val="22"/>
          <w:szCs w:val="22"/>
        </w:rPr>
        <w:t xml:space="preserve">● </w:t>
      </w:r>
      <w:r>
        <w:rPr>
          <w:rFonts w:ascii="Inter" w:cs="Inter" w:eastAsia="Inter" w:hAnsi="Inter"/>
          <w:color w:val="22293E"/>
          <w:sz w:val="22"/>
          <w:szCs w:val="22"/>
        </w:rPr>
        <w:t xml:space="preserve">Bajo (pulido, nice-to-have).</w:t>
      </w:r>
    </w:p>
    <w:p>
      <w:pPr>
        <w:pStyle w:val="Heading2"/>
        <w:spacing w:after="120" w:before="280"/>
      </w:pPr>
      <w:r>
        <w:rPr>
          <w:rFonts w:ascii="Inter" w:cs="Inter" w:eastAsia="Inter" w:hAnsi="Inter"/>
          <w:b/>
          <w:bCs/>
          <w:color w:val="22293E"/>
          <w:sz w:val="28"/>
          <w:szCs w:val="28"/>
        </w:rPr>
        <w:t xml:space="preserve">1 · Diseño visual y branding</w:t>
      </w:r>
    </w:p>
    <w:p>
      <w:pPr>
        <w:spacing w:after="80" w:before="200"/>
      </w:pPr>
      <w:r>
        <w:rPr>
          <w:rFonts w:ascii="Arial" w:cs="Arial" w:eastAsia="Arial" w:hAnsi="Arial"/>
          <w:b/>
          <w:bCs/>
          <w:color w:val="388E3C"/>
          <w:sz w:val="22"/>
          <w:szCs w:val="22"/>
        </w:rPr>
        <w:t xml:space="preserve">● </w:t>
      </w:r>
      <w:r>
        <w:rPr>
          <w:rFonts w:ascii="Inter" w:cs="Inter" w:eastAsia="Inter" w:hAnsi="Inter"/>
          <w:b/>
          <w:bCs/>
          <w:color w:val="22293E"/>
          <w:spacing w:val="40"/>
          <w:sz w:val="20"/>
          <w:szCs w:val="20"/>
        </w:rPr>
        <w:t xml:space="preserve">BAJO  </w:t>
      </w:r>
      <w:r>
        <w:rPr>
          <w:rFonts w:ascii="Inter" w:cs="Inter" w:eastAsia="Inter" w:hAnsi="Inter"/>
          <w:b/>
          <w:bCs/>
          <w:color w:val="22293E"/>
          <w:sz w:val="24"/>
          <w:szCs w:val="24"/>
        </w:rPr>
        <w:t xml:space="preserve">Mascota del cookie banner sin aria-hidden.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Las dos img que quedan sin alt en la home son cookie-mascot.webp, la mascota Pin del banner. Por ser decorativas, el patrón correcto es alt vacío + aria-hidden=true. Tienen alt vacío pero les falta aria-hidden.</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Inspección DOM en directo: 2 elementos cookie-mascot.webp con alt vacío y sin aria-hidden.</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Añadir aria-hidden=true (y opcionalmente role=presentation) a ambos img de la mascota en src/partials/cookie-banner.html. Regenerar con npm run build:pages y npm run build:blog.</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Bajo.</w:t>
            </w:r>
          </w:p>
        </w:tc>
      </w:tr>
    </w:tbl>
    <w:p>
      <w:pPr>
        <w:spacing w:after="140"/>
      </w:pPr>
      <w:r>
        <w:rPr>
          <w:rFonts w:ascii="Inter" w:cs="Inter" w:eastAsia="Inter" w:hAnsi="Inter"/>
        </w:rPr>
        <w:t xml:space="preserve"/>
      </w:r>
    </w:p>
    <w:p>
      <w:pPr>
        <w:pStyle w:val="Heading2"/>
        <w:spacing w:after="120" w:before="280"/>
      </w:pPr>
      <w:r>
        <w:rPr>
          <w:rFonts w:ascii="Inter" w:cs="Inter" w:eastAsia="Inter" w:hAnsi="Inter"/>
          <w:b/>
          <w:bCs/>
          <w:color w:val="22293E"/>
          <w:sz w:val="28"/>
          <w:szCs w:val="28"/>
        </w:rPr>
        <w:t xml:space="preserve">2 · UX y arquitectura de información</w:t>
      </w:r>
    </w:p>
    <w:p>
      <w:pPr>
        <w:spacing w:after="80" w:before="200"/>
      </w:pPr>
      <w:r>
        <w:rPr>
          <w:rFonts w:ascii="Arial" w:cs="Arial" w:eastAsia="Arial" w:hAnsi="Arial"/>
          <w:b/>
          <w:bCs/>
          <w:color w:val="F9A825"/>
          <w:sz w:val="22"/>
          <w:szCs w:val="22"/>
        </w:rPr>
        <w:t xml:space="preserve">● </w:t>
      </w:r>
      <w:r>
        <w:rPr>
          <w:rFonts w:ascii="Inter" w:cs="Inter" w:eastAsia="Inter" w:hAnsi="Inter"/>
          <w:b/>
          <w:bCs/>
          <w:color w:val="22293E"/>
          <w:spacing w:val="40"/>
          <w:sz w:val="20"/>
          <w:szCs w:val="20"/>
        </w:rPr>
        <w:t xml:space="preserve">MEDIO  </w:t>
      </w:r>
      <w:r>
        <w:rPr>
          <w:rFonts w:ascii="Inter" w:cs="Inter" w:eastAsia="Inter" w:hAnsi="Inter"/>
          <w:b/>
          <w:bCs/>
          <w:color w:val="22293E"/>
          <w:sz w:val="24"/>
          <w:szCs w:val="24"/>
        </w:rPr>
        <w:t xml:space="preserve">Falta tiempo de lectura visible en las cards del blog.</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El builder calcula tiempo de lectura (220 palabras/min) pero las cards del listado solo muestran fecha, título, extracto y tags.</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Listado en /blog/ — sin tiempo de lectura junto a la fecha en las cards.</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Añadir · N min al lado de la fecha en cada post-card.</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Bajo.</w:t>
            </w:r>
          </w:p>
        </w:tc>
      </w:tr>
    </w:tbl>
    <w:p>
      <w:pPr>
        <w:spacing w:after="140"/>
      </w:pPr>
      <w:r>
        <w:rPr>
          <w:rFonts w:ascii="Inter" w:cs="Inter" w:eastAsia="Inter" w:hAnsi="Inter"/>
        </w:rPr>
        <w:t xml:space="preserve"/>
      </w:r>
    </w:p>
    <w:p>
      <w:pPr>
        <w:spacing w:after="80" w:before="200"/>
      </w:pPr>
      <w:r>
        <w:rPr>
          <w:rFonts w:ascii="Arial" w:cs="Arial" w:eastAsia="Arial" w:hAnsi="Arial"/>
          <w:b/>
          <w:bCs/>
          <w:color w:val="F9A825"/>
          <w:sz w:val="22"/>
          <w:szCs w:val="22"/>
        </w:rPr>
        <w:t xml:space="preserve">● </w:t>
      </w:r>
      <w:r>
        <w:rPr>
          <w:rFonts w:ascii="Inter" w:cs="Inter" w:eastAsia="Inter" w:hAnsi="Inter"/>
          <w:b/>
          <w:bCs/>
          <w:color w:val="22293E"/>
          <w:spacing w:val="40"/>
          <w:sz w:val="20"/>
          <w:szCs w:val="20"/>
        </w:rPr>
        <w:t xml:space="preserve">MEDIO  </w:t>
      </w:r>
      <w:r>
        <w:rPr>
          <w:rFonts w:ascii="Inter" w:cs="Inter" w:eastAsia="Inter" w:hAnsi="Inter"/>
          <w:b/>
          <w:bCs/>
          <w:color w:val="22293E"/>
          <w:sz w:val="24"/>
          <w:szCs w:val="24"/>
        </w:rPr>
        <w:t xml:space="preserve">Sin breadcrumb en las páginas legales.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Aviso legal, privacidad y cookies siguen sin breadcrumb (sí lo tienen contacto, servicios y proyectos).</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/aviso-legal/, /politica-privacidad/, /politica-cookies/.</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Replicar el nav aria-label='Ruta de navegación' de /contacto/.</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Bajo.</w:t>
            </w:r>
          </w:p>
        </w:tc>
      </w:tr>
    </w:tbl>
    <w:p>
      <w:pPr>
        <w:spacing w:after="140"/>
      </w:pPr>
      <w:r>
        <w:rPr>
          <w:rFonts w:ascii="Inter" w:cs="Inter" w:eastAsia="Inter" w:hAnsi="Inter"/>
        </w:rPr>
        <w:t xml:space="preserve"/>
      </w:r>
    </w:p>
    <w:p>
      <w:pPr>
        <w:spacing w:after="80" w:before="200"/>
      </w:pPr>
      <w:r>
        <w:rPr>
          <w:rFonts w:ascii="Arial" w:cs="Arial" w:eastAsia="Arial" w:hAnsi="Arial"/>
          <w:b/>
          <w:bCs/>
          <w:color w:val="F9A825"/>
          <w:sz w:val="22"/>
          <w:szCs w:val="22"/>
        </w:rPr>
        <w:t xml:space="preserve">● </w:t>
      </w:r>
      <w:r>
        <w:rPr>
          <w:rFonts w:ascii="Inter" w:cs="Inter" w:eastAsia="Inter" w:hAnsi="Inter"/>
          <w:b/>
          <w:bCs/>
          <w:color w:val="22293E"/>
          <w:spacing w:val="40"/>
          <w:sz w:val="20"/>
          <w:szCs w:val="20"/>
        </w:rPr>
        <w:t xml:space="preserve">MEDIO  </w:t>
      </w:r>
      <w:r>
        <w:rPr>
          <w:rFonts w:ascii="Inter" w:cs="Inter" w:eastAsia="Inter" w:hAnsi="Inter"/>
          <w:b/>
          <w:bCs/>
          <w:color w:val="22293E"/>
          <w:sz w:val="24"/>
          <w:szCs w:val="24"/>
        </w:rPr>
        <w:t xml:space="preserve">La home concentra 11 H2 distintos.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Servicios, metodología (4 pasos), proyectos, blog, FAQ, contacto, banner cookies — todo en la home. Cada bloque es bueno; juntos cargan al usuario móvil con 8-10 scrolls antes del CTA final.</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document.querySelectorAll('h2').length → 11.</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Mover metodología y FAQ a páginas dedicadas, aplicar progressive disclosure en proyectos (mostrar 2 en home y enlazar al listado).</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Medio.</w:t>
            </w:r>
          </w:p>
        </w:tc>
      </w:tr>
    </w:tbl>
    <w:p>
      <w:pPr>
        <w:spacing w:after="140"/>
      </w:pPr>
      <w:r>
        <w:rPr>
          <w:rFonts w:ascii="Inter" w:cs="Inter" w:eastAsia="Inter" w:hAnsi="Inter"/>
        </w:rPr>
        <w:t xml:space="preserve"/>
      </w:r>
    </w:p>
    <w:p>
      <w:pPr>
        <w:pStyle w:val="Heading2"/>
        <w:spacing w:after="120" w:before="280"/>
      </w:pPr>
      <w:r>
        <w:rPr>
          <w:rFonts w:ascii="Inter" w:cs="Inter" w:eastAsia="Inter" w:hAnsi="Inter"/>
          <w:b/>
          <w:bCs/>
          <w:color w:val="22293E"/>
          <w:sz w:val="28"/>
          <w:szCs w:val="28"/>
        </w:rPr>
        <w:t xml:space="preserve">3 · Usabilidad técnica y rendimiento</w:t>
      </w:r>
    </w:p>
    <w:p>
      <w:pPr>
        <w:spacing w:after="80" w:before="200"/>
      </w:pPr>
      <w:r>
        <w:rPr>
          <w:rFonts w:ascii="Arial" w:cs="Arial" w:eastAsia="Arial" w:hAnsi="Arial"/>
          <w:b/>
          <w:bCs/>
          <w:color w:val="EF6C00"/>
          <w:sz w:val="22"/>
          <w:szCs w:val="22"/>
        </w:rPr>
        <w:t xml:space="preserve">● </w:t>
      </w:r>
      <w:r>
        <w:rPr>
          <w:rFonts w:ascii="Inter" w:cs="Inter" w:eastAsia="Inter" w:hAnsi="Inter"/>
          <w:b/>
          <w:bCs/>
          <w:color w:val="22293E"/>
          <w:spacing w:val="40"/>
          <w:sz w:val="20"/>
          <w:szCs w:val="20"/>
        </w:rPr>
        <w:t xml:space="preserve">ALTO  </w:t>
      </w:r>
      <w:r>
        <w:rPr>
          <w:rFonts w:ascii="Inter" w:cs="Inter" w:eastAsia="Inter" w:hAnsi="Inter"/>
          <w:b/>
          <w:bCs/>
          <w:color w:val="22293E"/>
          <w:sz w:val="24"/>
          <w:szCs w:val="24"/>
        </w:rPr>
        <w:t xml:space="preserve">Falta LocalBusiness schema y sameAs en el JSON-LD.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Hay Organization, ProfessionalService, WebSite y FAQPage, pero no LocalBusiness con dirección física, horario y geo, lo cual sería ideal para una empresa con sede en Bezana que apunta a 'Cantabria y España'. Tampoco hay sameAs con perfiles sociales para reforzar E-E-A-T.</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schemaTypes detectados: WebSite, Organization, ProfessionalService, FAQPage. Sin LocalBusiness, sin sameAs.</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Añadir LocalBusiness con address, geo, openingHoursSpecification (Lunes-Viernes 9:00-18:00, ya está en /contacto/), telephone, priceRange. En Organization y ProfessionalService, añadir sameAs con LinkedIn, GitHub e Instagram si existe.</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Bajo.</w:t>
            </w:r>
          </w:p>
        </w:tc>
      </w:tr>
    </w:tbl>
    <w:p>
      <w:pPr>
        <w:spacing w:after="140"/>
      </w:pPr>
      <w:r>
        <w:rPr>
          <w:rFonts w:ascii="Inter" w:cs="Inter" w:eastAsia="Inter" w:hAnsi="Inter"/>
        </w:rPr>
        <w:t xml:space="preserve"/>
      </w:r>
    </w:p>
    <w:p>
      <w:pPr>
        <w:spacing w:after="80" w:before="200"/>
      </w:pPr>
      <w:r>
        <w:rPr>
          <w:rFonts w:ascii="Arial" w:cs="Arial" w:eastAsia="Arial" w:hAnsi="Arial"/>
          <w:b/>
          <w:bCs/>
          <w:color w:val="F9A825"/>
          <w:sz w:val="22"/>
          <w:szCs w:val="22"/>
        </w:rPr>
        <w:t xml:space="preserve">● </w:t>
      </w:r>
      <w:r>
        <w:rPr>
          <w:rFonts w:ascii="Inter" w:cs="Inter" w:eastAsia="Inter" w:hAnsi="Inter"/>
          <w:b/>
          <w:bCs/>
          <w:color w:val="22293E"/>
          <w:spacing w:val="40"/>
          <w:sz w:val="20"/>
          <w:szCs w:val="20"/>
        </w:rPr>
        <w:t xml:space="preserve">MEDIO  </w:t>
      </w:r>
      <w:r>
        <w:rPr>
          <w:rFonts w:ascii="Inter" w:cs="Inter" w:eastAsia="Inter" w:hAnsi="Inter"/>
          <w:b/>
          <w:bCs/>
          <w:color w:val="22293E"/>
          <w:sz w:val="24"/>
          <w:szCs w:val="24"/>
        </w:rPr>
        <w:t xml:space="preserve">Hero scroll-canvas: nota de consumo de datos, no de rendimiento.</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La animación scroll-canvas usa carga progresiva real: una visita inicial sin scroll descarga ~7 frames (1,5 MB), y solo si el usuario interactúa con la animación llega a las 112 imágenes (~24 MB en total). Los Core Web Vitals reales del sitio pasan tanto en móvil como en escritorio (LCP, INP, CLS dentro de los thresholds). No es fallo de CWV ni freno SEO — sí es relevante como consumo de datos del visitante en redes lentas y como respeto a Save-Data y prefers-reduced-data.</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performance.getEntriesByType('resource') filtrado por frame_\d+\.webp tras navegación inicial: 7 frames cargados, 1,5 MB. Tras scroll completo: 112 frames, 23,6 MB. CWV reales verdes en producción.</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Recomendación opcional, no bloqueante. Detectar navigator.connection.saveData y prefers-reduced-data: reduce y, si está activo, no cargar la secuencia (fallback a imagen estática del cyborg). Como mejora de mayor calado, sustituir la secuencia por un vídeo AV1/WebM controlado con currentTime.</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Bajo (solo opción 1) / Medio (opción 2).</w:t>
            </w:r>
          </w:p>
        </w:tc>
      </w:tr>
    </w:tbl>
    <w:p>
      <w:pPr>
        <w:spacing w:after="140"/>
      </w:pPr>
      <w:r>
        <w:rPr>
          <w:rFonts w:ascii="Inter" w:cs="Inter" w:eastAsia="Inter" w:hAnsi="Inter"/>
        </w:rPr>
        <w:t xml:space="preserve"/>
      </w:r>
    </w:p>
    <w:p>
      <w:pPr>
        <w:pStyle w:val="Heading2"/>
        <w:spacing w:after="120" w:before="280"/>
      </w:pPr>
      <w:r>
        <w:rPr>
          <w:rFonts w:ascii="Inter" w:cs="Inter" w:eastAsia="Inter" w:hAnsi="Inter"/>
          <w:b/>
          <w:bCs/>
          <w:color w:val="22293E"/>
          <w:sz w:val="28"/>
          <w:szCs w:val="28"/>
        </w:rPr>
        <w:t xml:space="preserve">4 · SEO básico on-page</w:t>
      </w:r>
    </w:p>
    <w:p>
      <w:pPr>
        <w:spacing w:after="80" w:before="200"/>
      </w:pPr>
      <w:r>
        <w:rPr>
          <w:rFonts w:ascii="Arial" w:cs="Arial" w:eastAsia="Arial" w:hAnsi="Arial"/>
          <w:b/>
          <w:bCs/>
          <w:color w:val="F9A825"/>
          <w:sz w:val="22"/>
          <w:szCs w:val="22"/>
        </w:rPr>
        <w:t xml:space="preserve">● </w:t>
      </w:r>
      <w:r>
        <w:rPr>
          <w:rFonts w:ascii="Inter" w:cs="Inter" w:eastAsia="Inter" w:hAnsi="Inter"/>
          <w:b/>
          <w:bCs/>
          <w:color w:val="22293E"/>
          <w:spacing w:val="40"/>
          <w:sz w:val="20"/>
          <w:szCs w:val="20"/>
        </w:rPr>
        <w:t xml:space="preserve">MEDIO  </w:t>
      </w:r>
      <w:r>
        <w:rPr>
          <w:rFonts w:ascii="Inter" w:cs="Inter" w:eastAsia="Inter" w:hAnsi="Inter"/>
          <w:b/>
          <w:bCs/>
          <w:color w:val="22293E"/>
          <w:sz w:val="24"/>
          <w:szCs w:val="24"/>
        </w:rPr>
        <w:t xml:space="preserve">H2 con br que rompen el flujo semántico al extraer texto.</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Persistente desde 01. Frases como 'Webs que venden&lt;br&gt;&lt;span&gt;desde el primer scroll&lt;/span&gt;' renderizan bien pero al extraer texto los crawlers leen 'Webs que vendendesde el primer scroll' sin espacio.</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document.querySelectorAll('h2') → 'Webs que vendendesde el primer scroll'. Confirmado en src/index.html línea 321 y src/servicios/diseno-web.html línea 125.</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Añadir un espacio antes del br ('Webs que venden &lt;br&gt;') o sustituir por span class=block con display:block en CSS.</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Bajo.</w:t>
            </w:r>
          </w:p>
        </w:tc>
      </w:tr>
    </w:tbl>
    <w:p>
      <w:pPr>
        <w:spacing w:after="140"/>
      </w:pPr>
      <w:r>
        <w:rPr>
          <w:rFonts w:ascii="Inter" w:cs="Inter" w:eastAsia="Inter" w:hAnsi="Inter"/>
        </w:rPr>
        <w:t xml:space="preserve"/>
      </w:r>
    </w:p>
    <w:p>
      <w:pPr>
        <w:spacing w:after="80" w:before="200"/>
      </w:pPr>
      <w:r>
        <w:rPr>
          <w:rFonts w:ascii="Arial" w:cs="Arial" w:eastAsia="Arial" w:hAnsi="Arial"/>
          <w:b/>
          <w:bCs/>
          <w:color w:val="F9A825"/>
          <w:sz w:val="22"/>
          <w:szCs w:val="22"/>
        </w:rPr>
        <w:t xml:space="preserve">● </w:t>
      </w:r>
      <w:r>
        <w:rPr>
          <w:rFonts w:ascii="Inter" w:cs="Inter" w:eastAsia="Inter" w:hAnsi="Inter"/>
          <w:b/>
          <w:bCs/>
          <w:color w:val="22293E"/>
          <w:spacing w:val="40"/>
          <w:sz w:val="20"/>
          <w:szCs w:val="20"/>
        </w:rPr>
        <w:t xml:space="preserve">MEDIO  </w:t>
      </w:r>
      <w:r>
        <w:rPr>
          <w:rFonts w:ascii="Inter" w:cs="Inter" w:eastAsia="Inter" w:hAnsi="Inter"/>
          <w:b/>
          <w:bCs/>
          <w:color w:val="22293E"/>
          <w:sz w:val="24"/>
          <w:szCs w:val="24"/>
        </w:rPr>
        <w:t xml:space="preserve">Algunos titles cerca del límite de truncado en SERP.</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/servicios/ sigue en 79 caracteres. Pasa pero al límite (Google trunca alrededor de 580 px / 60-65 caracteres en español).</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Inspección de meta title en home (~64 chars, OK) y /servicios/ (79 chars, al límite).</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Mantener cada title bajo 60-65 caracteres. Por ejemplo: 'Servicios de software y diseño web | Pindia Santander' (54).</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Bajo.</w:t>
            </w:r>
          </w:p>
        </w:tc>
      </w:tr>
    </w:tbl>
    <w:p>
      <w:pPr>
        <w:spacing w:after="140"/>
      </w:pPr>
      <w:r>
        <w:rPr>
          <w:rFonts w:ascii="Inter" w:cs="Inter" w:eastAsia="Inter" w:hAnsi="Inter"/>
        </w:rPr>
        <w:t xml:space="preserve"/>
      </w:r>
    </w:p>
    <w:p>
      <w:pPr>
        <w:spacing w:after="80" w:before="200"/>
      </w:pPr>
      <w:r>
        <w:rPr>
          <w:rFonts w:ascii="Arial" w:cs="Arial" w:eastAsia="Arial" w:hAnsi="Arial"/>
          <w:b/>
          <w:bCs/>
          <w:color w:val="388E3C"/>
          <w:sz w:val="22"/>
          <w:szCs w:val="22"/>
        </w:rPr>
        <w:t xml:space="preserve">● </w:t>
      </w:r>
      <w:r>
        <w:rPr>
          <w:rFonts w:ascii="Inter" w:cs="Inter" w:eastAsia="Inter" w:hAnsi="Inter"/>
          <w:b/>
          <w:bCs/>
          <w:color w:val="22293E"/>
          <w:spacing w:val="40"/>
          <w:sz w:val="20"/>
          <w:szCs w:val="20"/>
        </w:rPr>
        <w:t xml:space="preserve">BAJO  </w:t>
      </w:r>
      <w:r>
        <w:rPr>
          <w:rFonts w:ascii="Inter" w:cs="Inter" w:eastAsia="Inter" w:hAnsi="Inter"/>
          <w:b/>
          <w:bCs/>
          <w:color w:val="22293E"/>
          <w:sz w:val="24"/>
          <w:szCs w:val="24"/>
        </w:rPr>
        <w:t xml:space="preserve">Las versiones .html de las legales devuelven 404 sin redirección 301.</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/aviso-legal.html, /politica-privacidad.html y /politica-cookies.html siguen respondiendo 404. Ya no están en el sitemap (corregido en 03), así que Google dejará de pedirlas. Aun así, si alguien tiene un enlace pegado en un PDF, una nota o un email previo, hoy aterriza en página rota.</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Fetch a las tres URLs .html → 404. Sitemap actualizado a versiones limpias → 200. 41 URLs en sitemap, todas con respuesta válida.</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Si hay Cloudflare delante, añadir reglas 301 desde .html a la versión limpia. Si no, generar tres páginas mínimas con meta http-equiv=refresh content=0;url=/politica-cookies/.</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Bajo.</w:t>
            </w:r>
          </w:p>
        </w:tc>
      </w:tr>
    </w:tbl>
    <w:p>
      <w:pPr>
        <w:spacing w:after="140"/>
      </w:pPr>
      <w:r>
        <w:rPr>
          <w:rFonts w:ascii="Inter" w:cs="Inter" w:eastAsia="Inter" w:hAnsi="Inter"/>
        </w:rPr>
        <w:t xml:space="preserve"/>
      </w:r>
    </w:p>
    <w:p>
      <w:pPr>
        <w:pStyle w:val="Heading2"/>
        <w:spacing w:after="120" w:before="280"/>
      </w:pPr>
      <w:r>
        <w:rPr>
          <w:rFonts w:ascii="Inter" w:cs="Inter" w:eastAsia="Inter" w:hAnsi="Inter"/>
          <w:b/>
          <w:bCs/>
          <w:color w:val="22293E"/>
          <w:sz w:val="28"/>
          <w:szCs w:val="28"/>
        </w:rPr>
        <w:t xml:space="preserve">5 · Cumplimiento legal — bloque crítico</w:t>
      </w:r>
    </w:p>
    <w:p>
      <w:pPr>
        <w:spacing w:after="80" w:before="200"/>
      </w:pPr>
      <w:r>
        <w:rPr>
          <w:rFonts w:ascii="Arial" w:cs="Arial" w:eastAsia="Arial" w:hAnsi="Arial"/>
          <w:b/>
          <w:bCs/>
          <w:color w:val="388E3C"/>
          <w:sz w:val="22"/>
          <w:szCs w:val="22"/>
        </w:rPr>
        <w:t xml:space="preserve">● </w:t>
      </w:r>
      <w:r>
        <w:rPr>
          <w:rFonts w:ascii="Inter" w:cs="Inter" w:eastAsia="Inter" w:hAnsi="Inter"/>
          <w:b/>
          <w:bCs/>
          <w:color w:val="22293E"/>
          <w:spacing w:val="40"/>
          <w:sz w:val="20"/>
          <w:szCs w:val="20"/>
        </w:rPr>
        <w:t xml:space="preserve">BAJO  </w:t>
      </w:r>
      <w:r>
        <w:rPr>
          <w:rFonts w:ascii="Inter" w:cs="Inter" w:eastAsia="Inter" w:hAnsi="Inter"/>
          <w:b/>
          <w:bCs/>
          <w:color w:val="22293E"/>
          <w:sz w:val="24"/>
          <w:szCs w:val="24"/>
        </w:rPr>
        <w:t xml:space="preserve">Política de cookies no enlaza a privacidad ni aviso legal.</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La política de cookies enumera bien las cookies pero no enlaza explícitamente a la política de privacidad (para el tratamiento de los datos derivados) ni al aviso legal (para la identificación del responsable). Es coherencia documental, no incumplimiento.</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Recorrido de /politica-cookies/ — secciones 5 y 6 sin enlaces a las otras dos políticas.</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Añadir un enlace en la sección 1 o 2 a la política de privacidad ('Para más información sobre el tratamiento de los datos personales, consulta nuestra Política de Privacidad') y al aviso legal en la sección de contacto.</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Bajo.</w:t>
            </w:r>
          </w:p>
        </w:tc>
      </w:tr>
    </w:tbl>
    <w:p>
      <w:pPr>
        <w:spacing w:after="140"/>
      </w:pPr>
      <w:r>
        <w:rPr>
          <w:rFonts w:ascii="Inter" w:cs="Inter" w:eastAsia="Inter" w:hAnsi="Inter"/>
        </w:rPr>
        <w:t xml:space="preserve"/>
      </w:r>
    </w:p>
    <w:p>
      <w:pPr>
        <w:spacing w:after="80" w:before="200"/>
      </w:pPr>
      <w:r>
        <w:rPr>
          <w:rFonts w:ascii="Arial" w:cs="Arial" w:eastAsia="Arial" w:hAnsi="Arial"/>
          <w:b/>
          <w:bCs/>
          <w:color w:val="388E3C"/>
          <w:sz w:val="22"/>
          <w:szCs w:val="22"/>
        </w:rPr>
        <w:t xml:space="preserve">● </w:t>
      </w:r>
      <w:r>
        <w:rPr>
          <w:rFonts w:ascii="Inter" w:cs="Inter" w:eastAsia="Inter" w:hAnsi="Inter"/>
          <w:b/>
          <w:bCs/>
          <w:color w:val="22293E"/>
          <w:spacing w:val="40"/>
          <w:sz w:val="20"/>
          <w:szCs w:val="20"/>
        </w:rPr>
        <w:t xml:space="preserve">BAJO  </w:t>
      </w:r>
      <w:r>
        <w:rPr>
          <w:rFonts w:ascii="Inter" w:cs="Inter" w:eastAsia="Inter" w:hAnsi="Inter"/>
          <w:b/>
          <w:bCs/>
          <w:color w:val="22293E"/>
          <w:sz w:val="24"/>
          <w:szCs w:val="24"/>
        </w:rPr>
        <w:t xml:space="preserve">El banner no comunica explícitamente el derecho a retirar el consentimiento.</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El banner sigue ejemplar (Rechazar/Configurar/Aceptar al mismo nivel) y la cookie cookie_consent permite revocar. Pero no hay un texto que recuerde que se puede cambiar la elección desde el botón de configuración del pie de página. El criterio AEPD de 'facilidad equivalente para retirar como para otorgar' está cumplido en mecánica, pero no comunicado.</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Texto del banner: 'Utilizamos cookies para entender qué funciona y mejorar la web. Nada raro, nada vendido a terceros — tú decides. Detalles en la política de cookies.'</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Añadir una línea: 'Puedes cambiar tu elección desde el enlace Cookies del pie en cualquier momento'. Y asegurarse de que el footer expone un trigger persistente para reabrir el modal.</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Bajo.</w:t>
            </w:r>
          </w:p>
        </w:tc>
      </w:tr>
    </w:tbl>
    <w:p>
      <w:pPr>
        <w:spacing w:after="140"/>
      </w:pPr>
      <w:r>
        <w:rPr>
          <w:rFonts w:ascii="Inter" w:cs="Inter" w:eastAsia="Inter" w:hAnsi="Inter"/>
        </w:rPr>
        <w:t xml:space="preserve"/>
      </w:r>
    </w:p>
    <w:p>
      <w:pPr>
        <w:spacing w:after="80"/>
      </w:pPr>
      <w:r>
        <w:rPr>
          <w:rFonts w:ascii="Inter" w:cs="Inter" w:eastAsia="Inter" w:hAnsi="Inter"/>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32"/>
              <w:bottom w:val="none" w:color="FFFFFF" w:sz="0"/>
              <w:right w:val="none" w:color="FFFFFF" w:sz="0"/>
            </w:tcBorders>
            <w:shd w:fill="F4F5F7" w:color="auto" w:val="clear"/>
            <w:tcMar>
              <w:top w:type="dxa" w:w="200"/>
              <w:left w:type="dxa" w:w="240"/>
              <w:bottom w:type="dxa" w:w="200"/>
              <w:right w:type="dxa" w:w="240"/>
            </w:tcMar>
          </w:tcPr>
          <w:p>
            <w:pPr>
              <w:spacing w:line="320"/>
            </w:pPr>
            <w:r>
              <w:rPr>
                <w:rFonts w:ascii="Inter" w:cs="Inter" w:eastAsia="Inter" w:hAnsi="Inter"/>
                <w:b w:val="false"/>
                <w:bCs w:val="false"/>
                <w:i/>
                <w:iCs/>
                <w:color w:val="22293E"/>
                <w:sz w:val="22"/>
                <w:szCs w:val="22"/>
              </w:rPr>
              <w:t xml:space="preserve">Nota legal del auditor. No soy abogado. Cada recomendación legal de este informe es orientativa basada en el marco general (LSSI-CE, RGPD, LOPDGDD y criterios AEPD publicados). Para garantías formales, los textos legales y la implementación deben revisarse con un profesional jurídico especializado en RGPD/protección de datos.</w:t>
            </w:r>
          </w:p>
        </w:tc>
      </w:tr>
    </w:tbl>
    <w:p>
      <w:pPr>
        <w:pStyle w:val="Heading2"/>
        <w:spacing w:after="120" w:before="280"/>
      </w:pPr>
      <w:r>
        <w:rPr>
          <w:rFonts w:ascii="Inter" w:cs="Inter" w:eastAsia="Inter" w:hAnsi="Inter"/>
          <w:b/>
          <w:bCs/>
          <w:color w:val="22293E"/>
          <w:sz w:val="28"/>
          <w:szCs w:val="28"/>
        </w:rPr>
        <w:t xml:space="preserve">6 · Conversión y confianza</w:t>
      </w:r>
    </w:p>
    <w:p>
      <w:pPr>
        <w:spacing w:after="80" w:before="200"/>
      </w:pPr>
      <w:r>
        <w:rPr>
          <w:rFonts w:ascii="Arial" w:cs="Arial" w:eastAsia="Arial" w:hAnsi="Arial"/>
          <w:b/>
          <w:bCs/>
          <w:color w:val="F9A825"/>
          <w:sz w:val="22"/>
          <w:szCs w:val="22"/>
        </w:rPr>
        <w:t xml:space="preserve">● </w:t>
      </w:r>
      <w:r>
        <w:rPr>
          <w:rFonts w:ascii="Inter" w:cs="Inter" w:eastAsia="Inter" w:hAnsi="Inter"/>
          <w:b/>
          <w:bCs/>
          <w:color w:val="22293E"/>
          <w:spacing w:val="40"/>
          <w:sz w:val="20"/>
          <w:szCs w:val="20"/>
        </w:rPr>
        <w:t xml:space="preserve">MEDIO  </w:t>
      </w:r>
      <w:r>
        <w:rPr>
          <w:rFonts w:ascii="Inter" w:cs="Inter" w:eastAsia="Inter" w:hAnsi="Inter"/>
          <w:b/>
          <w:bCs/>
          <w:color w:val="22293E"/>
          <w:sz w:val="24"/>
          <w:szCs w:val="24"/>
        </w:rPr>
        <w:t xml:space="preserve">Faltan KPIs cuantificados grandes en el bloque de confianza.</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Mejora respecto a 03: el bloque 'Resultados que generan confianza' ahora incluye un testimonio real con nombre, cargo y empresa (José María Rodríguez, CEO · 4Beats Solutions). Lo que sigue faltando son las métricas grandes que ya menciona el propio sitio en otros sitios pero sin destacar: '+5.000 usuarios activos en TrowelApp', 'Lighthouse 100', '&lt;24 h de respuesta', '+50 proyectos entregados'. Verlos como tipografía grande naranja en el mismo bloque del testimonio multiplicaría el impacto.</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Bloque de confianza en home — testimonio presente, KPIs en formato tarjeta-número ausentes.</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Añadir 3-4 KPIs sobre fondo navy con números grandes en naranja, justo encima o al lado del testimonio. Si es posible, sumar un segundo testimonio para alternar.</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Medio.</w:t>
            </w:r>
          </w:p>
        </w:tc>
      </w:tr>
    </w:tbl>
    <w:p>
      <w:pPr>
        <w:spacing w:after="140"/>
      </w:pPr>
      <w:r>
        <w:rPr>
          <w:rFonts w:ascii="Inter" w:cs="Inter" w:eastAsia="Inter" w:hAnsi="Inter"/>
        </w:rPr>
        <w:t xml:space="preserve"/>
      </w:r>
    </w:p>
    <w:p>
      <w:pPr>
        <w:spacing w:after="80" w:before="200"/>
      </w:pPr>
      <w:r>
        <w:rPr>
          <w:rFonts w:ascii="Arial" w:cs="Arial" w:eastAsia="Arial" w:hAnsi="Arial"/>
          <w:b/>
          <w:bCs/>
          <w:color w:val="388E3C"/>
          <w:sz w:val="22"/>
          <w:szCs w:val="22"/>
        </w:rPr>
        <w:t xml:space="preserve">● </w:t>
      </w:r>
      <w:r>
        <w:rPr>
          <w:rFonts w:ascii="Inter" w:cs="Inter" w:eastAsia="Inter" w:hAnsi="Inter"/>
          <w:b/>
          <w:bCs/>
          <w:color w:val="22293E"/>
          <w:spacing w:val="40"/>
          <w:sz w:val="20"/>
          <w:szCs w:val="20"/>
        </w:rPr>
        <w:t xml:space="preserve">BAJO  </w:t>
      </w:r>
      <w:r>
        <w:rPr>
          <w:rFonts w:ascii="Inter" w:cs="Inter" w:eastAsia="Inter" w:hAnsi="Inter"/>
          <w:b/>
          <w:bCs/>
          <w:color w:val="22293E"/>
          <w:sz w:val="24"/>
          <w:szCs w:val="24"/>
        </w:rPr>
        <w:t xml:space="preserve">Sin enlace a redes sociales en el footer.</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24"/>
              <w:bottom w:val="none" w:color="FFFFFF" w:sz="0"/>
              <w:right w:val="none" w:color="FFFFFF" w:sz="0"/>
            </w:tcBorders>
            <w:shd w:fill="F4F5F7" w:color="auto" w:val="clear"/>
            <w:tcMar>
              <w:top w:type="dxa" w:w="120"/>
              <w:left w:type="dxa" w:w="200"/>
              <w:bottom w:type="dxa" w:w="120"/>
              <w:right w:type="dxa" w:w="200"/>
            </w:tcMar>
          </w:tcPr>
          <w:p>
            <w:pPr>
              <w:spacing w:after="80" w:line="300"/>
            </w:pPr>
            <w:r>
              <w:rPr>
                <w:rFonts w:ascii="Inter" w:cs="Inter" w:eastAsia="Inter" w:hAnsi="Inter"/>
                <w:b/>
                <w:bCs/>
                <w:color w:val="22293E"/>
                <w:sz w:val="22"/>
                <w:szCs w:val="22"/>
              </w:rPr>
              <w:t xml:space="preserve">Problema. </w:t>
            </w:r>
            <w:r>
              <w:rPr>
                <w:rFonts w:ascii="Inter" w:cs="Inter" w:eastAsia="Inter" w:hAnsi="Inter"/>
                <w:color w:val="22293E"/>
                <w:sz w:val="22"/>
                <w:szCs w:val="22"/>
              </w:rPr>
              <w:t xml:space="preserve">El footer sigue sin perfiles sociales. Para una agencia B2B, LinkedIn es prácticamente obligatorio para credibilidad.</w:t>
            </w:r>
          </w:p>
          <w:p>
            <w:pPr>
              <w:spacing w:after="80" w:line="300"/>
            </w:pPr>
            <w:r>
              <w:rPr>
                <w:rFonts w:ascii="Inter" w:cs="Inter" w:eastAsia="Inter" w:hAnsi="Inter"/>
                <w:b/>
                <w:bCs/>
                <w:color w:val="22293E"/>
                <w:sz w:val="22"/>
                <w:szCs w:val="22"/>
              </w:rPr>
              <w:t xml:space="preserve">Evidencia. </w:t>
            </w:r>
            <w:r>
              <w:rPr>
                <w:rFonts w:ascii="Inter" w:cs="Inter" w:eastAsia="Inter" w:hAnsi="Inter"/>
                <w:color w:val="22293E"/>
                <w:sz w:val="22"/>
                <w:szCs w:val="22"/>
              </w:rPr>
              <w:t xml:space="preserve">Inspección de footer — sin enlaces a LinkedIn, GitHub, Instagram, X u otras.</w:t>
            </w:r>
          </w:p>
          <w:p>
            <w:pPr>
              <w:spacing w:after="80" w:line="300"/>
            </w:pPr>
            <w:r>
              <w:rPr>
                <w:rFonts w:ascii="Inter" w:cs="Inter" w:eastAsia="Inter" w:hAnsi="Inter"/>
                <w:b/>
                <w:bCs/>
                <w:color w:val="22293E"/>
                <w:sz w:val="22"/>
                <w:szCs w:val="22"/>
              </w:rPr>
              <w:t xml:space="preserve">Recomendación. </w:t>
            </w:r>
            <w:r>
              <w:rPr>
                <w:rFonts w:ascii="Inter" w:cs="Inter" w:eastAsia="Inter" w:hAnsi="Inter"/>
                <w:color w:val="22293E"/>
                <w:sz w:val="22"/>
                <w:szCs w:val="22"/>
              </w:rPr>
              <w:t xml:space="preserve">Añadir bloque 'Síguenos' con LinkedIn y GitHub al menos. Conecta con sameAs del JSON-LD del hallazgo de schemas.</w:t>
            </w:r>
          </w:p>
          <w:p>
            <w:pPr>
              <w:spacing w:after="40"/>
            </w:pPr>
            <w:r>
              <w:rPr>
                <w:rFonts w:ascii="Inter" w:cs="Inter" w:eastAsia="Inter" w:hAnsi="Inter"/>
                <w:b/>
                <w:bCs/>
                <w:color w:val="E8413A"/>
                <w:sz w:val="20"/>
                <w:szCs w:val="20"/>
              </w:rPr>
              <w:t xml:space="preserve">Esfuerzo: </w:t>
            </w:r>
            <w:r>
              <w:rPr>
                <w:rFonts w:ascii="Inter" w:cs="Inter" w:eastAsia="Inter" w:hAnsi="Inter"/>
                <w:color w:val="22293E"/>
                <w:sz w:val="20"/>
                <w:szCs w:val="20"/>
              </w:rPr>
              <w:t xml:space="preserve">Bajo.</w:t>
            </w:r>
          </w:p>
        </w:tc>
      </w:tr>
    </w:tbl>
    <w:p>
      <w:pPr>
        <w:spacing w:after="140"/>
      </w:pPr>
      <w:r>
        <w:rPr>
          <w:rFonts w:ascii="Inter" w:cs="Inter" w:eastAsia="Inter" w:hAnsi="Inter"/>
        </w:rPr>
        <w:t xml:space="preserve"/>
      </w:r>
    </w:p>
    <w:p>
      <w:pPr>
        <w:pageBreakBefore/>
      </w:pPr>
      <w:r>
        <w:rPr>
          <w:rFonts w:ascii="Inter" w:cs="Inter" w:eastAsia="Inter" w:hAnsi="Inter"/>
        </w:rPr>
        <w:t xml:space="preserve"/>
      </w:r>
    </w:p>
    <w:p>
      <w:pPr>
        <w:pStyle w:val="Heading1"/>
        <w:pBdr>
          <w:bottom w:val="single" w:color="E8413A" w:sz="12" w:space="6"/>
        </w:pBdr>
        <w:spacing w:after="200" w:before="360"/>
      </w:pPr>
      <w:r>
        <w:rPr>
          <w:rFonts w:ascii="Inter" w:cs="Inter" w:eastAsia="Inter" w:hAnsi="Inter"/>
          <w:b/>
          <w:bCs/>
          <w:color w:val="22293E"/>
          <w:sz w:val="36"/>
          <w:szCs w:val="36"/>
        </w:rPr>
        <w:t xml:space="preserve">Plan de acción sugerido</w:t>
      </w:r>
    </w:p>
    <w:p>
      <w:pPr>
        <w:spacing w:after="120" w:line="320"/>
      </w:pPr>
      <w:r>
        <w:rPr>
          <w:rFonts w:ascii="Inter" w:cs="Inter" w:eastAsia="Inter" w:hAnsi="Inter"/>
          <w:color w:val="22293E"/>
          <w:sz w:val="22"/>
          <w:szCs w:val="22"/>
        </w:rPr>
        <w:t xml:space="preserve">Las acciones se agrupan en tres fases. La fase 1 cierra los pulidos pequeños y suma SEO local; la fase 2 mejora prueba social y consistencia; la fase 3 se reserva para rediseño parcial y opcionales del hero.</w:t>
      </w:r>
    </w:p>
    <w:p>
      <w:pPr>
        <w:pStyle w:val="Heading3"/>
        <w:spacing w:after="80" w:before="200"/>
      </w:pPr>
      <w:r>
        <w:rPr>
          <w:rFonts w:ascii="Inter" w:cs="Inter" w:eastAsia="Inter" w:hAnsi="Inter"/>
          <w:b/>
          <w:bCs/>
          <w:color w:val="22293E"/>
          <w:sz w:val="24"/>
          <w:szCs w:val="24"/>
        </w:rPr>
        <w:t xml:space="preserve">Fase 1 — Inmediato · Pulido pequeño y SEO local</w:t>
      </w:r>
    </w:p>
    <w:p>
      <w:pPr>
        <w:pStyle w:val="ListParagraph"/>
        <w:numPr>
          <w:ilvl w:val="0"/>
          <w:numId w:val="4"/>
        </w:numPr>
        <w:spacing w:after="80" w:line="300"/>
      </w:pPr>
      <w:r>
        <w:rPr>
          <w:rFonts w:ascii="Inter" w:cs="Inter" w:eastAsia="Inter" w:hAnsi="Inter"/>
          <w:color w:val="22293E"/>
          <w:sz w:val="22"/>
          <w:szCs w:val="22"/>
        </w:rPr>
        <w:t xml:space="preserve">Añadir LocalBusiness schema con dirección, horario y geo, y sameAs con LinkedIn/GitHub en Organization y ProfessionalService.</w:t>
      </w:r>
    </w:p>
    <w:p>
      <w:pPr>
        <w:pStyle w:val="ListParagraph"/>
        <w:numPr>
          <w:ilvl w:val="0"/>
          <w:numId w:val="4"/>
        </w:numPr>
        <w:spacing w:after="80" w:line="300"/>
      </w:pPr>
      <w:r>
        <w:rPr>
          <w:rFonts w:ascii="Inter" w:cs="Inter" w:eastAsia="Inter" w:hAnsi="Inter"/>
          <w:color w:val="22293E"/>
          <w:sz w:val="22"/>
          <w:szCs w:val="22"/>
        </w:rPr>
        <w:t xml:space="preserve">Añadir aria-hidden=true a las dos img de la mascota Pin del banner de cookies en src/partials/cookie-banner.html.</w:t>
      </w:r>
    </w:p>
    <w:p>
      <w:pPr>
        <w:pStyle w:val="ListParagraph"/>
        <w:numPr>
          <w:ilvl w:val="0"/>
          <w:numId w:val="4"/>
        </w:numPr>
        <w:spacing w:after="80" w:line="300"/>
      </w:pPr>
      <w:r>
        <w:rPr>
          <w:rFonts w:ascii="Inter" w:cs="Inter" w:eastAsia="Inter" w:hAnsi="Inter"/>
          <w:color w:val="22293E"/>
          <w:sz w:val="22"/>
          <w:szCs w:val="22"/>
        </w:rPr>
        <w:t xml:space="preserve">Configurar redirecciones 301 desde /aviso-legal.html, /politica-privacidad.html, /politica-cookies.html a las URLs limpias (Cloudflare o meta http-equiv=refresh mínimo).</w:t>
      </w:r>
    </w:p>
    <w:p>
      <w:pPr>
        <w:pStyle w:val="ListParagraph"/>
        <w:numPr>
          <w:ilvl w:val="0"/>
          <w:numId w:val="4"/>
        </w:numPr>
        <w:spacing w:after="80" w:line="300"/>
      </w:pPr>
      <w:r>
        <w:rPr>
          <w:rFonts w:ascii="Inter" w:cs="Inter" w:eastAsia="Inter" w:hAnsi="Inter"/>
          <w:color w:val="22293E"/>
          <w:sz w:val="22"/>
          <w:szCs w:val="22"/>
        </w:rPr>
        <w:t xml:space="preserve">Añadir enlaces cruzados entre las tres páginas legales (privacidad ↔ cookies ↔ aviso legal).</w:t>
      </w:r>
    </w:p>
    <w:p>
      <w:pPr>
        <w:pStyle w:val="Heading3"/>
        <w:spacing w:after="80" w:before="200"/>
      </w:pPr>
      <w:r>
        <w:rPr>
          <w:rFonts w:ascii="Inter" w:cs="Inter" w:eastAsia="Inter" w:hAnsi="Inter"/>
          <w:b/>
          <w:bCs/>
          <w:color w:val="22293E"/>
          <w:sz w:val="24"/>
          <w:szCs w:val="24"/>
        </w:rPr>
        <w:t xml:space="preserve">Fase 2 — Mes 1 · KPIs, redes y micro-coherencia</w:t>
      </w:r>
    </w:p>
    <w:p>
      <w:pPr>
        <w:pStyle w:val="ListParagraph"/>
        <w:numPr>
          <w:ilvl w:val="0"/>
          <w:numId w:val="5"/>
        </w:numPr>
        <w:spacing w:after="80" w:line="300"/>
      </w:pPr>
      <w:r>
        <w:rPr>
          <w:rFonts w:ascii="Inter" w:cs="Inter" w:eastAsia="Inter" w:hAnsi="Inter"/>
          <w:color w:val="22293E"/>
          <w:sz w:val="22"/>
          <w:szCs w:val="22"/>
        </w:rPr>
        <w:t xml:space="preserve">Añadir bloque de KPIs cuantificados sobre fondo navy en home (+5.000 usuarios · 50+ proyectos · 100/100 Lighthouse · &lt;24 h respuesta), idealmente al lado o encima del testimonio actual.</w:t>
      </w:r>
    </w:p>
    <w:p>
      <w:pPr>
        <w:pStyle w:val="ListParagraph"/>
        <w:numPr>
          <w:ilvl w:val="0"/>
          <w:numId w:val="5"/>
        </w:numPr>
        <w:spacing w:after="80" w:line="300"/>
      </w:pPr>
      <w:r>
        <w:rPr>
          <w:rFonts w:ascii="Inter" w:cs="Inter" w:eastAsia="Inter" w:hAnsi="Inter"/>
          <w:color w:val="22293E"/>
          <w:sz w:val="22"/>
          <w:szCs w:val="22"/>
        </w:rPr>
        <w:t xml:space="preserve">Añadir un segundo testimonio real con nombre, cargo y empresa para alternar en el bloque de confianza.</w:t>
      </w:r>
    </w:p>
    <w:p>
      <w:pPr>
        <w:pStyle w:val="ListParagraph"/>
        <w:numPr>
          <w:ilvl w:val="0"/>
          <w:numId w:val="5"/>
        </w:numPr>
        <w:spacing w:after="80" w:line="300"/>
      </w:pPr>
      <w:r>
        <w:rPr>
          <w:rFonts w:ascii="Inter" w:cs="Inter" w:eastAsia="Inter" w:hAnsi="Inter"/>
          <w:color w:val="22293E"/>
          <w:sz w:val="22"/>
          <w:szCs w:val="22"/>
        </w:rPr>
        <w:t xml:space="preserve">Añadir bloque de redes sociales en footer con LinkedIn y GitHub.</w:t>
      </w:r>
    </w:p>
    <w:p>
      <w:pPr>
        <w:pStyle w:val="ListParagraph"/>
        <w:numPr>
          <w:ilvl w:val="0"/>
          <w:numId w:val="5"/>
        </w:numPr>
        <w:spacing w:after="80" w:line="300"/>
      </w:pPr>
      <w:r>
        <w:rPr>
          <w:rFonts w:ascii="Inter" w:cs="Inter" w:eastAsia="Inter" w:hAnsi="Inter"/>
          <w:color w:val="22293E"/>
          <w:sz w:val="22"/>
          <w:szCs w:val="22"/>
        </w:rPr>
        <w:t xml:space="preserve">Añadir tiempo de lectura visible en las cards del listado del blog.</w:t>
      </w:r>
    </w:p>
    <w:p>
      <w:pPr>
        <w:pStyle w:val="ListParagraph"/>
        <w:numPr>
          <w:ilvl w:val="0"/>
          <w:numId w:val="5"/>
        </w:numPr>
        <w:spacing w:after="80" w:line="300"/>
      </w:pPr>
      <w:r>
        <w:rPr>
          <w:rFonts w:ascii="Inter" w:cs="Inter" w:eastAsia="Inter" w:hAnsi="Inter"/>
          <w:color w:val="22293E"/>
          <w:sz w:val="22"/>
          <w:szCs w:val="22"/>
        </w:rPr>
        <w:t xml:space="preserve">Acortar titles que superan los 65 caracteres (/servicios/ y similares).</w:t>
      </w:r>
    </w:p>
    <w:p>
      <w:pPr>
        <w:pStyle w:val="ListParagraph"/>
        <w:numPr>
          <w:ilvl w:val="0"/>
          <w:numId w:val="5"/>
        </w:numPr>
        <w:spacing w:after="80" w:line="300"/>
      </w:pPr>
      <w:r>
        <w:rPr>
          <w:rFonts w:ascii="Inter" w:cs="Inter" w:eastAsia="Inter" w:hAnsi="Inter"/>
          <w:color w:val="22293E"/>
          <w:sz w:val="22"/>
          <w:szCs w:val="22"/>
        </w:rPr>
        <w:t xml:space="preserve">Añadir mensaje en el banner de cookies sobre cómo retirar el consentimiento desde el pie.</w:t>
      </w:r>
    </w:p>
    <w:p>
      <w:pPr>
        <w:pStyle w:val="Heading3"/>
        <w:spacing w:after="80" w:before="200"/>
      </w:pPr>
      <w:r>
        <w:rPr>
          <w:rFonts w:ascii="Inter" w:cs="Inter" w:eastAsia="Inter" w:hAnsi="Inter"/>
          <w:b/>
          <w:bCs/>
          <w:color w:val="22293E"/>
          <w:sz w:val="24"/>
          <w:szCs w:val="24"/>
        </w:rPr>
        <w:t xml:space="preserve">Fase 3 — Trimestre · Rediseño parcial y opcionales</w:t>
      </w:r>
    </w:p>
    <w:p>
      <w:pPr>
        <w:pStyle w:val="ListParagraph"/>
        <w:numPr>
          <w:ilvl w:val="0"/>
          <w:numId w:val="6"/>
        </w:numPr>
        <w:spacing w:after="80" w:line="300"/>
      </w:pPr>
      <w:r>
        <w:rPr>
          <w:rFonts w:ascii="Inter" w:cs="Inter" w:eastAsia="Inter" w:hAnsi="Inter"/>
          <w:color w:val="22293E"/>
          <w:sz w:val="22"/>
          <w:szCs w:val="22"/>
        </w:rPr>
        <w:t xml:space="preserve">Replantear la home con progressive disclosure: mover metodología y FAQ a páginas dedicadas, dejar la home en valor + servicios + 1 caso destacado + CTA + bloque de prueba social.</w:t>
      </w:r>
    </w:p>
    <w:p>
      <w:pPr>
        <w:pStyle w:val="ListParagraph"/>
        <w:numPr>
          <w:ilvl w:val="0"/>
          <w:numId w:val="6"/>
        </w:numPr>
        <w:spacing w:after="80" w:line="300"/>
      </w:pPr>
      <w:r>
        <w:rPr>
          <w:rFonts w:ascii="Inter" w:cs="Inter" w:eastAsia="Inter" w:hAnsi="Inter"/>
          <w:color w:val="22293E"/>
          <w:sz w:val="22"/>
          <w:szCs w:val="22"/>
        </w:rPr>
        <w:t xml:space="preserve">Añadir breadcrumb a las páginas legales para coherencia con el resto del sitio.</w:t>
      </w:r>
    </w:p>
    <w:p>
      <w:pPr>
        <w:pStyle w:val="ListParagraph"/>
        <w:numPr>
          <w:ilvl w:val="0"/>
          <w:numId w:val="6"/>
        </w:numPr>
        <w:spacing w:after="80" w:line="300"/>
      </w:pPr>
      <w:r>
        <w:rPr>
          <w:rFonts w:ascii="Inter" w:cs="Inter" w:eastAsia="Inter" w:hAnsi="Inter"/>
          <w:color w:val="22293E"/>
          <w:sz w:val="22"/>
          <w:szCs w:val="22"/>
        </w:rPr>
        <w:t xml:space="preserve">Sustituir los br semánticos en titulares por span class=block con display:block en CSS.</w:t>
      </w:r>
    </w:p>
    <w:p>
      <w:pPr>
        <w:pStyle w:val="ListParagraph"/>
        <w:numPr>
          <w:ilvl w:val="0"/>
          <w:numId w:val="6"/>
        </w:numPr>
        <w:spacing w:after="80" w:line="300"/>
      </w:pPr>
      <w:r>
        <w:rPr>
          <w:rFonts w:ascii="Inter" w:cs="Inter" w:eastAsia="Inter" w:hAnsi="Inter"/>
          <w:color w:val="22293E"/>
          <w:sz w:val="22"/>
          <w:szCs w:val="22"/>
        </w:rPr>
        <w:t xml:space="preserve">(Opcional) Implementar el fallback estático del hero scroll-canvas bajo Save-Data y prefers-reduced-data.</w:t>
      </w:r>
    </w:p>
    <w:p>
      <w:pPr>
        <w:pStyle w:val="ListParagraph"/>
        <w:numPr>
          <w:ilvl w:val="0"/>
          <w:numId w:val="6"/>
        </w:numPr>
        <w:spacing w:after="80" w:line="300"/>
      </w:pPr>
      <w:r>
        <w:rPr>
          <w:rFonts w:ascii="Inter" w:cs="Inter" w:eastAsia="Inter" w:hAnsi="Inter"/>
          <w:color w:val="22293E"/>
          <w:sz w:val="22"/>
          <w:szCs w:val="22"/>
        </w:rPr>
        <w:t xml:space="preserve">(Opcional, inversión mayor) Sustituir la secuencia de frames del hero por un vídeo AV1/WebM con currentTime controlado por scroll.</w:t>
      </w:r>
    </w:p>
    <w:p>
      <w:pPr>
        <w:pageBreakBefore/>
      </w:pPr>
      <w:r>
        <w:rPr>
          <w:rFonts w:ascii="Inter" w:cs="Inter" w:eastAsia="Inter" w:hAnsi="Inter"/>
        </w:rPr>
        <w:t xml:space="preserve"/>
      </w:r>
    </w:p>
    <w:p>
      <w:pPr>
        <w:pStyle w:val="Heading1"/>
        <w:pBdr>
          <w:bottom w:val="single" w:color="E8413A" w:sz="12" w:space="6"/>
        </w:pBdr>
        <w:spacing w:after="200" w:before="360"/>
      </w:pPr>
      <w:r>
        <w:rPr>
          <w:rFonts w:ascii="Inter" w:cs="Inter" w:eastAsia="Inter" w:hAnsi="Inter"/>
          <w:b/>
          <w:bCs/>
          <w:color w:val="22293E"/>
          <w:sz w:val="36"/>
          <w:szCs w:val="36"/>
        </w:rPr>
        <w:t xml:space="preserve">Por qué este sitio merece un rediseño</w:t>
      </w:r>
    </w:p>
    <w:p>
      <w:pPr>
        <w:spacing w:after="120" w:line="320"/>
      </w:pPr>
      <w:r>
        <w:rPr>
          <w:rFonts w:ascii="Inter" w:cs="Inter" w:eastAsia="Inter" w:hAnsi="Inter"/>
          <w:color w:val="22293E"/>
          <w:sz w:val="22"/>
          <w:szCs w:val="22"/>
        </w:rPr>
        <w:t xml:space="preserve">Sigue sin merecer un rediseño — merece pulido, y el pulido va a buen ritmo. En cuatro pasadas del mismo día pindia.es ha pasado de 7,6 → 7,4 (regresión de migración) → 8,3 (cierre de regresiones + política de privacidad reforzada) → 8,4 (testimonio real con identificación, hero typewriter dinámico). Es un sitio que se mueve y que se autocorrige. El argumento comercial sigue siendo el mismo y ahora es aún más fácil de defender: la web es el escaparate de Pindia, y el escaparate ya cuenta con prueba social verificable, copy con tres ángulos de propuesta de valor y un cumplimiento legal cerrado. Lo que separa el 8,4 del 9,5 es trabajo de fase 1/2: LocalBusiness, sameAs, KPIs grandes y redes sociales en footer. Una mañana bien invertida cubre lo de fase 1 íntegro.</w:t>
      </w:r>
    </w:p>
    <w:p>
      <w:pPr>
        <w:spacing w:after="80"/>
      </w:pPr>
      <w:r>
        <w:rPr>
          <w:rFonts w:ascii="Inter" w:cs="Inter" w:eastAsia="Inter" w:hAnsi="Inter"/>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E8413A" w:sz="32"/>
              <w:bottom w:val="none" w:color="FFFFFF" w:sz="0"/>
              <w:right w:val="none" w:color="FFFFFF" w:sz="0"/>
            </w:tcBorders>
            <w:shd w:fill="F4F5F7" w:color="auto" w:val="clear"/>
            <w:tcMar>
              <w:top w:type="dxa" w:w="200"/>
              <w:left w:type="dxa" w:w="240"/>
              <w:bottom w:type="dxa" w:w="200"/>
              <w:right w:type="dxa" w:w="240"/>
            </w:tcMar>
          </w:tcPr>
          <w:p>
            <w:pPr>
              <w:spacing w:line="320"/>
            </w:pPr>
            <w:r>
              <w:rPr>
                <w:rFonts w:ascii="Inter" w:cs="Inter" w:eastAsia="Inter" w:hAnsi="Inter"/>
                <w:b/>
                <w:bCs/>
                <w:i/>
                <w:iCs/>
                <w:color w:val="22293E"/>
                <w:sz w:val="22"/>
                <w:szCs w:val="22"/>
              </w:rPr>
              <w:t xml:space="preserve">Cuatro iteraciones, cuatro mejoras netas. La diferencia entre una agencia que se vende bien y una que ejecuta bien es esto — y aquí está pasando.</w:t>
            </w:r>
          </w:p>
        </w:tc>
      </w:tr>
    </w:tbl>
    <w:p>
      <w:pPr>
        <w:spacing w:after="200"/>
      </w:pPr>
      <w:r>
        <w:rPr>
          <w:rFonts w:ascii="Inter" w:cs="Inter" w:eastAsia="Inter" w:hAnsi="Inter"/>
        </w:rPr>
        <w:t xml:space="preserve"/>
      </w:r>
    </w:p>
    <w:p>
      <w:pPr>
        <w:spacing w:after="120" w:line="320"/>
      </w:pPr>
      <w:r>
        <w:rPr>
          <w:rFonts w:ascii="Inter" w:cs="Inter" w:eastAsia="Inter" w:hAnsi="Inter"/>
          <w:i/>
          <w:iCs/>
          <w:color w:val="5C6478"/>
          <w:sz w:val="20"/>
          <w:szCs w:val="20"/>
        </w:rPr>
        <w:t xml:space="preserve">Auditoría realizada por Pindia el 1 de mayo de 2026 (cuarta pasada, referencia interna _04) sobre la versión en producción de pindia.es. Las observaciones legales son orientativas y no sustituyen asesoramiento jurídico formal.</w:t>
      </w:r>
    </w:p>
    <w:sectPr>
      <w:headerReference w:type="default" r:id="rId7"/>
      <w:footerReference w:type="default" r:id="rId8"/>
      <w:type w:val="nextPage"/>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Inter" w:cs="Inter" w:eastAsia="Inter" w:hAnsi="Inter"/>
        <w:color w:val="5C6478"/>
        <w:sz w:val="18"/>
        <w:szCs w:val="18"/>
      </w:rPr>
      <w:t xml:space="preserve">Confidencial · Pindia</w:t>
    </w:r>
    <w:r>
      <w:rPr>
        <w:rFonts w:ascii="Inter" w:cs="Inter" w:eastAsia="Inter" w:hAnsi="Inter"/>
        <w:color w:val="5C6478"/>
        <w:sz w:val="18"/>
        <w:szCs w:val="18"/>
      </w:rPr>
      <w:t xml:space="preserve">	Página </w:t>
    </w:r>
    <w:r>
      <w:rPr>
        <w:rFonts w:ascii="Inter" w:cs="Inter" w:eastAsia="Inter" w:hAnsi="Inter"/>
        <w:b/>
        <w:bCs/>
        <w:color w:val="22293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413A" w:sz="6" w:space="4"/>
      </w:pBdr>
      <w:tabs>
        <w:tab w:val="right" w:pos="9360"/>
      </w:tabs>
    </w:pPr>
    <w:r>
      <w:rPr>
        <w:rFonts w:ascii="Inter" w:cs="Inter" w:eastAsia="Inter" w:hAnsi="Inter"/>
        <w:color w:val="5C6478"/>
        <w:sz w:val="18"/>
        <w:szCs w:val="18"/>
      </w:rPr>
      <w:t xml:space="preserve">Auditoría pindia.es</w:t>
    </w:r>
    <w:r>
      <w:rPr>
        <w:rFonts w:ascii="Inter" w:cs="Inter" w:eastAsia="Inter" w:hAnsi="Inter"/>
        <w:color w:val="5C6478"/>
        <w:sz w:val="18"/>
        <w:szCs w:val="18"/>
      </w:rPr>
      <w:t xml:space="preserve">	Pindia · 1 de mayo de 2026 (cuarta pasada del día — referencia interna _04)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rFonts w:ascii="Inter" w:cs="Inter" w:eastAsia="Inter" w:hAnsi="Inter"/>
        <w:color w:val="E8413A"/>
      </w:rPr>
    </w:lvl>
  </w:abstractNum>
  <w:abstractNum w:abstractNumId="3" w15:restartNumberingAfterBreak="0">
    <w:multiLevelType w:val="hybridMultilevel"/>
    <w:lvl w:ilvl="0" w15:tentative="1">
      <w:start w:val="1"/>
      <w:numFmt w:val="decimal"/>
      <w:lvlText w:val="%1."/>
      <w:lvlJc w:val="left"/>
      <w:pPr>
        <w:ind w:left="540" w:hanging="270"/>
      </w:pPr>
      <w:rPr>
        <w:rFonts w:ascii="Inter" w:cs="Inter" w:eastAsia="Inter" w:hAnsi="Inter"/>
        <w:b/>
        <w:bCs/>
        <w:color w:val="E8413A"/>
      </w:rPr>
    </w:lvl>
  </w:abstractNum>
  <w:abstractNum w:abstractNumId="4" w15:restartNumberingAfterBreak="0">
    <w:multiLevelType w:val="hybridMultilevel"/>
    <w:lvl w:ilvl="0" w15:tentative="1">
      <w:start w:val="1"/>
      <w:numFmt w:val="decimal"/>
      <w:lvlText w:val="%1."/>
      <w:lvlJc w:val="left"/>
      <w:pPr>
        <w:ind w:left="540" w:hanging="270"/>
      </w:pPr>
      <w:rPr>
        <w:rFonts w:ascii="Inter" w:cs="Inter" w:eastAsia="Inter" w:hAnsi="Inter"/>
        <w:b/>
        <w:bCs/>
        <w:color w:val="E8413A"/>
      </w:rPr>
    </w:lvl>
  </w:abstractNum>
  <w:abstractNum w:abstractNumId="5" w15:restartNumberingAfterBreak="0">
    <w:multiLevelType w:val="hybridMultilevel"/>
    <w:lvl w:ilvl="0" w15:tentative="1">
      <w:start w:val="1"/>
      <w:numFmt w:val="decimal"/>
      <w:lvlText w:val="%1."/>
      <w:lvlJc w:val="left"/>
      <w:pPr>
        <w:ind w:left="540" w:hanging="270"/>
      </w:pPr>
      <w:rPr>
        <w:rFonts w:ascii="Inter" w:cs="Inter" w:eastAsia="Inter" w:hAnsi="Inter"/>
        <w:b/>
        <w:bCs/>
        <w:color w:val="E8413A"/>
      </w:rPr>
    </w:lvl>
  </w:abstractNum>
  <w:abstractNum w:abstractNumId="6" w15:restartNumberingAfterBreak="0">
    <w:multiLevelType w:val="hybridMultilevel"/>
    <w:lvl w:ilvl="0" w15:tentative="1">
      <w:start w:val="1"/>
      <w:numFmt w:val="decimal"/>
      <w:lvlText w:val="%1."/>
      <w:lvlJc w:val="left"/>
      <w:pPr>
        <w:ind w:left="540" w:hanging="270"/>
      </w:pPr>
      <w:rPr>
        <w:rFonts w:ascii="Inter" w:cs="Inter" w:eastAsia="Inter" w:hAnsi="Inter"/>
        <w:b/>
        <w:bCs/>
        <w:color w:val="E8413A"/>
      </w:rPr>
    </w:lvl>
  </w:abstractNum>
  <w:abstractNum w:abstractNumId="7" w15:restartNumberingAfterBreak="0">
    <w:multiLevelType w:val="hybridMultilevel"/>
    <w:lvl w:ilvl="0" w15:tentative="1">
      <w:start w:val="1"/>
      <w:numFmt w:val="decimal"/>
      <w:lvlText w:val="%1."/>
      <w:lvlJc w:val="left"/>
      <w:pPr>
        <w:ind w:left="540" w:hanging="270"/>
      </w:pPr>
      <w:rPr>
        <w:rFonts w:ascii="Inter" w:cs="Inter" w:eastAsia="Inter" w:hAnsi="Inter"/>
        <w:b/>
        <w:bCs/>
        <w:color w:val="E8413A"/>
      </w:rPr>
    </w:lvl>
  </w:abstractNum>
  <w:abstractNum w:abstractNumId="8" w15:restartNumberingAfterBreak="0">
    <w:multiLevelType w:val="hybridMultilevel"/>
    <w:lvl w:ilvl="0" w15:tentative="1">
      <w:start w:val="1"/>
      <w:numFmt w:val="decimal"/>
      <w:lvlText w:val="%1."/>
      <w:lvlJc w:val="left"/>
      <w:pPr>
        <w:ind w:left="540" w:hanging="270"/>
      </w:pPr>
      <w:rPr>
        <w:rFonts w:ascii="Inter" w:cs="Inter" w:eastAsia="Inter" w:hAnsi="Inter"/>
        <w:b/>
        <w:bCs/>
        <w:color w:val="E8413A"/>
      </w:r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22293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Inter" w:cs="Inter" w:eastAsia="Inter" w:hAnsi="Inter"/>
      <w:b/>
      <w:bCs/>
      <w:color w:val="22293E"/>
      <w:sz w:val="36"/>
      <w:szCs w:val="36"/>
    </w:rPr>
  </w:style>
  <w:style w:type="paragraph" w:styleId="Heading2">
    <w:name w:val="Heading 2"/>
    <w:basedOn w:val="Normal"/>
    <w:next w:val="Normal"/>
    <w:qFormat/>
    <w:pPr>
      <w:spacing w:after="120" w:before="280"/>
      <w:outlineLvl w:val="1"/>
    </w:pPr>
    <w:rPr>
      <w:rFonts w:ascii="Inter" w:cs="Inter" w:eastAsia="Inter" w:hAnsi="Inter"/>
      <w:b/>
      <w:bCs/>
      <w:color w:val="22293E"/>
      <w:sz w:val="28"/>
      <w:szCs w:val="28"/>
    </w:rPr>
  </w:style>
  <w:style w:type="paragraph" w:styleId="Heading3">
    <w:name w:val="Heading 3"/>
    <w:basedOn w:val="Normal"/>
    <w:next w:val="Normal"/>
    <w:qFormat/>
    <w:pPr>
      <w:spacing w:after="80" w:before="200"/>
      <w:outlineLvl w:val="2"/>
    </w:pPr>
    <w:rPr>
      <w:rFonts w:ascii="Inter" w:cs="Inter" w:eastAsia="Inter" w:hAnsi="Inter"/>
      <w:b/>
      <w:bCs/>
      <w:color w:val="2229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0b500f14f77904a8584ba8736397f35df3eca3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Auditoría web — pindia.es</dc:title>
  <dc:creator>Pindia</dc:creator>
  <dc:description>Auditoría de pindia.es realizada por Pindia</dc:description>
  <cp:lastModifiedBy>Un-named</cp:lastModifiedBy>
  <cp:revision>1</cp:revision>
  <dcterms:created xsi:type="dcterms:W3CDTF">2026-05-02T10:12:14.149Z</dcterms:created>
  <dcterms:modified xsi:type="dcterms:W3CDTF">2026-05-02T10:12:14.149Z</dcterms:modified>
</cp:coreProperties>
</file>

<file path=docProps/custom.xml><?xml version="1.0" encoding="utf-8"?>
<Properties xmlns="http://schemas.openxmlformats.org/officeDocument/2006/custom-properties" xmlns:vt="http://schemas.openxmlformats.org/officeDocument/2006/docPropsVTypes"/>
</file>