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60CD8E" w14:textId="17D158B4" w:rsidR="00875B18" w:rsidRDefault="00EC3084" w:rsidP="00EC308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E9731B" wp14:editId="0F0C91D8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1695450" cy="1695450"/>
            <wp:effectExtent l="0" t="0" r="0" b="0"/>
            <wp:wrapNone/>
            <wp:docPr id="988266108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66108" name="Picture 2" descr="A logo with a moose and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F39D0" w14:textId="77777777" w:rsidR="00B91D8F" w:rsidRDefault="00B91D8F">
      <w:pPr>
        <w:rPr>
          <w:b/>
          <w:bCs/>
        </w:rPr>
      </w:pPr>
    </w:p>
    <w:p w14:paraId="22C7BCD6" w14:textId="77777777" w:rsidR="00EC3084" w:rsidRDefault="00EC3084">
      <w:pPr>
        <w:rPr>
          <w:b/>
          <w:bCs/>
        </w:rPr>
      </w:pPr>
    </w:p>
    <w:p w14:paraId="284C61FC" w14:textId="77777777" w:rsidR="00EC3084" w:rsidRDefault="00EC3084">
      <w:pPr>
        <w:rPr>
          <w:b/>
          <w:bCs/>
        </w:rPr>
      </w:pPr>
    </w:p>
    <w:p w14:paraId="69559A3D" w14:textId="77777777" w:rsidR="00EC3084" w:rsidRDefault="00EC3084" w:rsidP="00EC3084">
      <w:pPr>
        <w:pStyle w:val="Title"/>
        <w:spacing w:after="0"/>
        <w:jc w:val="center"/>
        <w:rPr>
          <w:color w:val="024442"/>
          <w:sz w:val="40"/>
          <w:szCs w:val="40"/>
        </w:rPr>
      </w:pPr>
    </w:p>
    <w:p w14:paraId="4F1E286E" w14:textId="77777777" w:rsidR="0042721C" w:rsidRDefault="0042721C" w:rsidP="00EC3084">
      <w:pPr>
        <w:pStyle w:val="Title"/>
        <w:spacing w:after="0"/>
        <w:jc w:val="center"/>
        <w:rPr>
          <w:color w:val="024442"/>
          <w:sz w:val="40"/>
          <w:szCs w:val="40"/>
        </w:rPr>
      </w:pPr>
    </w:p>
    <w:p w14:paraId="67484CB1" w14:textId="7E4C45C9" w:rsidR="00EC3084" w:rsidRPr="00EC3084" w:rsidRDefault="00EC3084" w:rsidP="00EC3084">
      <w:pPr>
        <w:pStyle w:val="Title"/>
        <w:spacing w:after="0"/>
        <w:jc w:val="center"/>
        <w:rPr>
          <w:color w:val="024442"/>
          <w:sz w:val="40"/>
          <w:szCs w:val="40"/>
        </w:rPr>
      </w:pPr>
      <w:r w:rsidRPr="00EC3084">
        <w:rPr>
          <w:color w:val="024442"/>
          <w:sz w:val="40"/>
          <w:szCs w:val="40"/>
        </w:rPr>
        <w:t>File your Maine Fee Waiver Packet</w:t>
      </w:r>
    </w:p>
    <w:p w14:paraId="14334663" w14:textId="77777777" w:rsidR="00EC3084" w:rsidRDefault="00EC3084">
      <w:pPr>
        <w:rPr>
          <w:b/>
          <w:bCs/>
        </w:rPr>
      </w:pPr>
    </w:p>
    <w:p w14:paraId="4FB9A472" w14:textId="7B7BFFA3" w:rsidR="00F96963" w:rsidRPr="003D4D52" w:rsidRDefault="00F96963" w:rsidP="00F96963">
      <w:pPr>
        <w:rPr>
          <w:sz w:val="28"/>
          <w:szCs w:val="28"/>
        </w:rPr>
      </w:pPr>
      <w:r w:rsidRPr="003D4D52">
        <w:rPr>
          <w:sz w:val="28"/>
          <w:szCs w:val="28"/>
        </w:rPr>
        <w:t xml:space="preserve">Congratulations </w:t>
      </w:r>
      <w:proofErr w:type="gramStart"/>
      <w:r w:rsidR="00590F86" w:rsidRPr="003D4D52">
        <w:rPr>
          <w:sz w:val="28"/>
          <w:szCs w:val="28"/>
        </w:rPr>
        <w:t>{{ users</w:t>
      </w:r>
      <w:proofErr w:type="gramEnd"/>
      <w:r w:rsidR="00590F86" w:rsidRPr="003D4D52">
        <w:rPr>
          <w:sz w:val="28"/>
          <w:szCs w:val="28"/>
        </w:rPr>
        <w:t>[0] }</w:t>
      </w:r>
      <w:r w:rsidRPr="003D4D52">
        <w:rPr>
          <w:sz w:val="28"/>
          <w:szCs w:val="28"/>
        </w:rPr>
        <w:t xml:space="preserve">}! You have finished all the forms you need to </w:t>
      </w:r>
      <w:r w:rsidR="00590F86" w:rsidRPr="003D4D52">
        <w:rPr>
          <w:sz w:val="28"/>
          <w:szCs w:val="28"/>
        </w:rPr>
        <w:t>file your</w:t>
      </w:r>
      <w:r w:rsidR="007C1E92" w:rsidRPr="003D4D52">
        <w:rPr>
          <w:sz w:val="28"/>
          <w:szCs w:val="28"/>
        </w:rPr>
        <w:t xml:space="preserve"> fee waiver packet </w:t>
      </w:r>
      <w:proofErr w:type="gramStart"/>
      <w:r w:rsidR="007C1E92" w:rsidRPr="003D4D52">
        <w:rPr>
          <w:sz w:val="28"/>
          <w:szCs w:val="28"/>
        </w:rPr>
        <w:t xml:space="preserve">- </w:t>
      </w:r>
      <w:r w:rsidR="00590F86" w:rsidRPr="003D4D52">
        <w:rPr>
          <w:sz w:val="28"/>
          <w:szCs w:val="28"/>
        </w:rPr>
        <w:t xml:space="preserve"> Maine</w:t>
      </w:r>
      <w:proofErr w:type="gramEnd"/>
      <w:r w:rsidR="00590F86" w:rsidRPr="003D4D52">
        <w:rPr>
          <w:sz w:val="28"/>
          <w:szCs w:val="28"/>
        </w:rPr>
        <w:t xml:space="preserve"> Application to Proceed Without Payment of Fees and Maine Financial Affidavit</w:t>
      </w:r>
      <w:r w:rsidRPr="003D4D52">
        <w:rPr>
          <w:sz w:val="28"/>
          <w:szCs w:val="28"/>
        </w:rPr>
        <w:t xml:space="preserve">. </w:t>
      </w:r>
    </w:p>
    <w:p w14:paraId="6C87C0C7" w14:textId="77777777" w:rsidR="00B91D8F" w:rsidRDefault="00B91D8F">
      <w:pPr>
        <w:sectPr w:rsidR="00B91D8F" w:rsidSect="00D211B5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2EFB8C34" w14:textId="77777777" w:rsidR="00B91D8F" w:rsidRPr="003D4D52" w:rsidRDefault="00C56900">
      <w:pPr>
        <w:pStyle w:val="Heading2"/>
        <w:rPr>
          <w:color w:val="024442"/>
          <w:sz w:val="32"/>
          <w:szCs w:val="32"/>
        </w:rPr>
      </w:pPr>
      <w:bookmarkStart w:id="0" w:name="_yntzxzfdh9ya"/>
      <w:bookmarkEnd w:id="0"/>
      <w:r w:rsidRPr="003D4D52">
        <w:rPr>
          <w:color w:val="024442"/>
          <w:sz w:val="32"/>
          <w:szCs w:val="32"/>
        </w:rPr>
        <w:t>Next steps</w:t>
      </w:r>
    </w:p>
    <w:p w14:paraId="4EBD95C9" w14:textId="57DFBE37" w:rsidR="000D57AE" w:rsidRPr="003D4D52" w:rsidRDefault="000D57AE">
      <w:pPr>
        <w:pStyle w:val="ListParagraph"/>
        <w:numPr>
          <w:ilvl w:val="0"/>
          <w:numId w:val="1"/>
        </w:numPr>
        <w:snapToGrid w:val="0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Review the information on the forms one last time to make sure it is all correct.</w:t>
      </w:r>
      <w:r w:rsidR="003D4D5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If you decided to sign your </w:t>
      </w:r>
      <w:proofErr w:type="gramStart"/>
      <w:r w:rsidR="003D4D5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Application</w:t>
      </w:r>
      <w:proofErr w:type="gramEnd"/>
      <w:r w:rsidR="003D4D5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to Proceed Without Payment of Fees (CV-067) on paper, don’t forget to sign!</w:t>
      </w:r>
    </w:p>
    <w:p w14:paraId="2BF3FC1D" w14:textId="104FC267" w:rsidR="000D57AE" w:rsidRPr="003D4D52" w:rsidRDefault="000D57AE">
      <w:pPr>
        <w:pStyle w:val="ListParagraph"/>
        <w:numPr>
          <w:ilvl w:val="0"/>
          <w:numId w:val="1"/>
        </w:numPr>
        <w:snapToGrid w:val="0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Read the two important statements at the bottom of the Financial Affidavit form</w:t>
      </w:r>
      <w:r w:rsidR="003D4D5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(CV-191)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 they are what you are agreeing to by signing and filing this form. If you understand them and agree, sign the Financial Affidavit form in front of a notary public, </w:t>
      </w:r>
      <w:r w:rsid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(which could include a 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lawyer, judge or court clerk</w:t>
      </w:r>
      <w:r w:rsid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)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to have it notarized.</w:t>
      </w:r>
    </w:p>
    <w:p w14:paraId="27ABD4B7" w14:textId="09F58EC9" w:rsidR="009A0A71" w:rsidRPr="003D4D52" w:rsidRDefault="00C56900" w:rsidP="000D57AE">
      <w:pPr>
        <w:pStyle w:val="ListParagraph"/>
        <w:numPr>
          <w:ilvl w:val="0"/>
          <w:numId w:val="1"/>
        </w:numPr>
        <w:snapToGrid w:val="0"/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File th</w:t>
      </w:r>
      <w:r w:rsidR="007C1E9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ese forms</w:t>
      </w:r>
      <w:r w:rsidRPr="003D4D52">
        <w:rPr>
          <w:sz w:val="28"/>
          <w:szCs w:val="28"/>
        </w:rPr>
        <w:t xml:space="preserve"> with the court</w:t>
      </w:r>
      <w:r w:rsidR="003D4D52" w:rsidRPr="003D4D52">
        <w:rPr>
          <w:sz w:val="28"/>
          <w:szCs w:val="28"/>
        </w:rPr>
        <w:t xml:space="preserve"> where your case is happening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bookmarkStart w:id="1" w:name="_4szgtqe6ov1h"/>
      <w:bookmarkEnd w:id="1"/>
      <w:r w:rsidR="000D57AE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185210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You can do this by d</w:t>
      </w:r>
      <w:r w:rsidR="009A0A71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185210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ing</w:t>
      </w:r>
      <w:r w:rsidR="009A0A71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 copy of these forms to the </w:t>
      </w:r>
      <w:r w:rsidR="003D4D5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court </w:t>
      </w:r>
      <w:r w:rsidR="009A0A71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clerk.</w:t>
      </w:r>
    </w:p>
    <w:p w14:paraId="2F10DEB1" w14:textId="77777777" w:rsidR="00E63009" w:rsidRPr="003D4D52" w:rsidRDefault="00F96963" w:rsidP="00E63009">
      <w:pPr>
        <w:pStyle w:val="ListParagraph"/>
        <w:numPr>
          <w:ilvl w:val="0"/>
          <w:numId w:val="1"/>
        </w:numPr>
        <w:snapToGrid w:val="0"/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D4D52"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6E4CFE5B" w14:textId="0216D594" w:rsidR="00E63009" w:rsidRPr="003D4D52" w:rsidRDefault="00E63009" w:rsidP="009733C4">
      <w:pPr>
        <w:pStyle w:val="ListParagraph"/>
        <w:numPr>
          <w:ilvl w:val="0"/>
          <w:numId w:val="1"/>
        </w:numPr>
        <w:snapToGrid w:val="0"/>
        <w:rPr>
          <w:b/>
          <w:bCs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The clerk will ask a judge to review the</w:t>
      </w:r>
      <w:r w:rsidR="009733C4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forms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0C224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This review may take about two weeks to complete.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You may or may not have to see the judge</w:t>
      </w:r>
      <w:r w:rsidR="000C224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as part of this process</w:t>
      </w:r>
      <w:r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 The clerk will tell you what the judge decided</w:t>
      </w:r>
      <w:r w:rsidR="000C2242" w:rsidRPr="003D4D52">
        <w:rPr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– but if you have not heard from the court after two weeks you can call to ask about your application.  </w:t>
      </w:r>
    </w:p>
    <w:p w14:paraId="02EDE02D" w14:textId="77777777" w:rsidR="00B91D8F" w:rsidRDefault="00B91D8F">
      <w:pPr>
        <w:pStyle w:val="NumberedList"/>
      </w:pPr>
    </w:p>
    <w:p w14:paraId="7ABDD544" w14:textId="2963FECF" w:rsidR="00B91D8F" w:rsidRPr="003D4D52" w:rsidRDefault="009733C4">
      <w:pPr>
        <w:pStyle w:val="Heading2"/>
        <w:rPr>
          <w:color w:val="024442"/>
          <w:sz w:val="32"/>
          <w:szCs w:val="32"/>
        </w:rPr>
      </w:pPr>
      <w:r w:rsidRPr="003D4D52">
        <w:rPr>
          <w:color w:val="024442"/>
          <w:sz w:val="32"/>
          <w:szCs w:val="32"/>
        </w:rPr>
        <w:t>More information about fee waivers</w:t>
      </w:r>
    </w:p>
    <w:p w14:paraId="5E0C6E88" w14:textId="5AB6D222" w:rsidR="00382666" w:rsidRPr="003D4D52" w:rsidRDefault="00382666" w:rsidP="009733C4">
      <w:pPr>
        <w:rPr>
          <w:sz w:val="28"/>
          <w:szCs w:val="28"/>
        </w:rPr>
      </w:pPr>
      <w:r w:rsidRPr="003D4D52">
        <w:rPr>
          <w:sz w:val="28"/>
          <w:szCs w:val="28"/>
        </w:rPr>
        <w:t xml:space="preserve">If your only income is TANF, General Assistance, or SSI, the Court should presume that you cannot pay fees. You should get a waiver. </w:t>
      </w:r>
      <w:hyperlink r:id="rId8" w:history="1">
        <w:r w:rsidRPr="003D4D52">
          <w:rPr>
            <w:rStyle w:val="Hyperlink"/>
            <w:sz w:val="28"/>
            <w:szCs w:val="28"/>
          </w:rPr>
          <w:t>Contact Pine Tree Legal if you are denied</w:t>
        </w:r>
      </w:hyperlink>
      <w:r w:rsidRPr="003D4D52">
        <w:rPr>
          <w:sz w:val="28"/>
          <w:szCs w:val="28"/>
        </w:rPr>
        <w:t>.</w:t>
      </w:r>
    </w:p>
    <w:p w14:paraId="7E8C50E8" w14:textId="77777777" w:rsidR="00382666" w:rsidRPr="003D4D52" w:rsidRDefault="00382666" w:rsidP="009733C4">
      <w:pPr>
        <w:rPr>
          <w:sz w:val="28"/>
          <w:szCs w:val="28"/>
        </w:rPr>
      </w:pPr>
    </w:p>
    <w:p w14:paraId="5568EF5B" w14:textId="1DF94301" w:rsidR="00B91D8F" w:rsidRPr="003D4D52" w:rsidRDefault="00382666" w:rsidP="009733C4">
      <w:pPr>
        <w:rPr>
          <w:sz w:val="28"/>
          <w:szCs w:val="28"/>
        </w:rPr>
      </w:pPr>
      <w:r w:rsidRPr="003D4D52">
        <w:rPr>
          <w:sz w:val="28"/>
          <w:szCs w:val="28"/>
        </w:rPr>
        <w:t xml:space="preserve">You can learn more about fee waivers in Maine by reading our article </w:t>
      </w:r>
      <w:hyperlink r:id="rId9" w:history="1">
        <w:r w:rsidRPr="003D4D52">
          <w:rPr>
            <w:rStyle w:val="Hyperlink"/>
            <w:sz w:val="28"/>
            <w:szCs w:val="28"/>
          </w:rPr>
          <w:t>Maine Court Fee Waivers on PTLA.org</w:t>
        </w:r>
      </w:hyperlink>
      <w:r w:rsidRPr="003D4D52">
        <w:rPr>
          <w:sz w:val="28"/>
          <w:szCs w:val="28"/>
        </w:rPr>
        <w:t>.</w:t>
      </w:r>
    </w:p>
    <w:p w14:paraId="35B3507F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8192"/>
        </w:sectPr>
      </w:pPr>
    </w:p>
    <w:p w14:paraId="360DFCB7" w14:textId="77777777" w:rsidR="00B91D8F" w:rsidRDefault="00B91D8F">
      <w:pPr>
        <w:sectPr w:rsidR="00B91D8F" w:rsidSect="00D211B5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8192"/>
        </w:sectPr>
      </w:pPr>
      <w:bookmarkStart w:id="2" w:name="_jpvqkqfibwqh"/>
      <w:bookmarkStart w:id="3" w:name="_wjzvjugefec1"/>
      <w:bookmarkEnd w:id="2"/>
      <w:bookmarkEnd w:id="3"/>
    </w:p>
    <w:p w14:paraId="51A4CE6C" w14:textId="77777777" w:rsidR="00B91D8F" w:rsidRDefault="00B91D8F"/>
    <w:p w14:paraId="3A8FEC30" w14:textId="77777777" w:rsidR="00B91D8F" w:rsidRDefault="00B91D8F"/>
    <w:p w14:paraId="3E64B6F1" w14:textId="77777777" w:rsidR="00B91D8F" w:rsidRDefault="00B91D8F"/>
    <w:sectPr w:rsidR="00B91D8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00BE6" w14:textId="77777777" w:rsidR="000B682D" w:rsidRDefault="000B682D" w:rsidP="00F96963">
      <w:pPr>
        <w:spacing w:after="0"/>
      </w:pPr>
      <w:r>
        <w:separator/>
      </w:r>
    </w:p>
  </w:endnote>
  <w:endnote w:type="continuationSeparator" w:id="0">
    <w:p w14:paraId="5DCC022E" w14:textId="77777777" w:rsidR="000B682D" w:rsidRDefault="000B682D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9D8E0" w14:textId="77777777" w:rsidR="000B682D" w:rsidRDefault="000B682D" w:rsidP="00F96963">
      <w:pPr>
        <w:spacing w:after="0"/>
      </w:pPr>
      <w:r>
        <w:separator/>
      </w:r>
    </w:p>
  </w:footnote>
  <w:footnote w:type="continuationSeparator" w:id="0">
    <w:p w14:paraId="085915A8" w14:textId="77777777" w:rsidR="000B682D" w:rsidRDefault="000B682D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96409368">
    <w:abstractNumId w:val="0"/>
  </w:num>
  <w:num w:numId="2" w16cid:durableId="1369836292">
    <w:abstractNumId w:val="1"/>
  </w:num>
  <w:num w:numId="3" w16cid:durableId="17583517">
    <w:abstractNumId w:val="4"/>
  </w:num>
  <w:num w:numId="4" w16cid:durableId="433787423">
    <w:abstractNumId w:val="6"/>
  </w:num>
  <w:num w:numId="5" w16cid:durableId="551965702">
    <w:abstractNumId w:val="2"/>
  </w:num>
  <w:num w:numId="6" w16cid:durableId="1856843771">
    <w:abstractNumId w:val="3"/>
  </w:num>
  <w:num w:numId="7" w16cid:durableId="1669942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0B682D"/>
    <w:rsid w:val="000C2242"/>
    <w:rsid w:val="000D57AE"/>
    <w:rsid w:val="00185210"/>
    <w:rsid w:val="001F13E2"/>
    <w:rsid w:val="0033002B"/>
    <w:rsid w:val="00382666"/>
    <w:rsid w:val="00383EB3"/>
    <w:rsid w:val="003D4D52"/>
    <w:rsid w:val="0042721C"/>
    <w:rsid w:val="00590F86"/>
    <w:rsid w:val="005D197B"/>
    <w:rsid w:val="00727B0B"/>
    <w:rsid w:val="007B000A"/>
    <w:rsid w:val="007C1E92"/>
    <w:rsid w:val="0084363D"/>
    <w:rsid w:val="00861234"/>
    <w:rsid w:val="00875B18"/>
    <w:rsid w:val="00904C79"/>
    <w:rsid w:val="009733C4"/>
    <w:rsid w:val="009A0A71"/>
    <w:rsid w:val="00A111C7"/>
    <w:rsid w:val="00A31FAC"/>
    <w:rsid w:val="00B91D8F"/>
    <w:rsid w:val="00C07C3C"/>
    <w:rsid w:val="00C56900"/>
    <w:rsid w:val="00C67D39"/>
    <w:rsid w:val="00C80A00"/>
    <w:rsid w:val="00CF7853"/>
    <w:rsid w:val="00D211B5"/>
    <w:rsid w:val="00E538B7"/>
    <w:rsid w:val="00E63009"/>
    <w:rsid w:val="00EC3084"/>
    <w:rsid w:val="00F96963"/>
    <w:rsid w:val="00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09A5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66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la.org/contact-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tla.org/maine-court-fee-waivers" TargetMode="Externa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Jack Haycock</cp:lastModifiedBy>
  <cp:revision>23</cp:revision>
  <cp:lastPrinted>2020-09-16T15:54:00Z</cp:lastPrinted>
  <dcterms:created xsi:type="dcterms:W3CDTF">2024-04-30T14:50:00Z</dcterms:created>
  <dcterms:modified xsi:type="dcterms:W3CDTF">2024-11-08T18:12:00Z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