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09"/>
      </w:tblGrid>
      <w:tr w14:paraId="6368B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1" w:hRule="atLeast"/>
          <w:jc w:val="center"/>
        </w:trPr>
        <w:tc>
          <w:tcPr>
            <w:tcW w:w="7909" w:type="dxa"/>
            <w:vAlign w:val="center"/>
          </w:tcPr>
          <w:p w14:paraId="7CD71C61">
            <w:pPr>
              <w:snapToGrid w:val="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drawing>
                <wp:inline distT="0" distB="0" distL="0" distR="0">
                  <wp:extent cx="3028950" cy="3028950"/>
                  <wp:effectExtent l="0" t="0" r="0" b="0"/>
                  <wp:docPr id="4216444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644492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317" cy="3036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061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7909" w:type="dxa"/>
          </w:tcPr>
          <w:p w14:paraId="151043CF">
            <w:pPr>
              <w:snapToGrid w:val="0"/>
              <w:ind w:firstLine="480"/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</w:pP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92735" cy="28765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100000" contrast="-9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3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t xml:space="preserve">   </w:t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92735" cy="28765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100000" contrast="-10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3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t xml:space="preserve">   </w:t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87655" cy="2876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t xml:space="preserve">   </w:t>
            </w:r>
            <w:r>
              <w:rPr>
                <w:rFonts w:ascii="Calibri" w:hAnsi="Calibri" w:cs="Calibri" w:eastAsiaTheme="minorEastAsia"/>
                <w:b/>
                <w:bCs/>
                <w:color w:val="008CD6"/>
                <w:sz w:val="16"/>
                <w:szCs w:val="16"/>
              </w:rPr>
              <w:drawing>
                <wp:inline distT="0" distB="0" distL="0" distR="0">
                  <wp:extent cx="292100" cy="28765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21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2C3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6" w:hRule="atLeast"/>
          <w:jc w:val="center"/>
        </w:trPr>
        <w:tc>
          <w:tcPr>
            <w:tcW w:w="7909" w:type="dxa"/>
          </w:tcPr>
          <w:p w14:paraId="5CDC8253">
            <w:pPr>
              <w:snapToGrid w:val="0"/>
              <w:jc w:val="left"/>
              <w:rPr>
                <w:rFonts w:hint="eastAsia" w:ascii="Calibri" w:hAnsi="Calibri" w:eastAsia="思源黑体 CN Normal" w:cs="Calibri"/>
                <w:b/>
                <w:bCs/>
                <w:color w:val="008CD6"/>
                <w:sz w:val="40"/>
                <w:szCs w:val="40"/>
                <w:lang w:val="en-US" w:eastAsia="zh-CN"/>
              </w:rPr>
            </w:pPr>
            <w:r>
              <w:rPr>
                <w:rFonts w:hint="eastAsia" w:ascii="Calibri" w:hAnsi="Calibri" w:eastAsia="思源黑体 CN Normal" w:cs="Calibri"/>
                <w:b/>
                <w:bCs/>
                <w:color w:val="008CD6"/>
                <w:sz w:val="40"/>
                <w:szCs w:val="40"/>
              </w:rPr>
              <w:t>IBC-X21</w:t>
            </w:r>
            <w:r>
              <w:rPr>
                <w:rFonts w:hint="eastAsia" w:ascii="Calibri" w:hAnsi="Calibri" w:eastAsia="思源黑体 CN Normal" w:cs="Calibri"/>
                <w:b/>
                <w:bCs/>
                <w:color w:val="008CD6"/>
                <w:sz w:val="40"/>
                <w:szCs w:val="40"/>
                <w:lang w:val="en-US" w:eastAsia="zh-CN"/>
              </w:rPr>
              <w:t>/ IBC-X21L</w:t>
            </w:r>
          </w:p>
          <w:p w14:paraId="4413B5A4">
            <w:pPr>
              <w:snapToGrid w:val="0"/>
              <w:jc w:val="left"/>
              <w:rPr>
                <w:rFonts w:ascii="Calibri" w:hAnsi="Calibri" w:eastAsia="思源黑体 CN Normal" w:cs="Calibri"/>
                <w:b/>
                <w:bCs/>
                <w:color w:val="008CD6"/>
                <w:sz w:val="16"/>
                <w:szCs w:val="16"/>
              </w:rPr>
            </w:pPr>
            <w:r>
              <w:rPr>
                <w:rFonts w:hint="eastAsia" w:ascii="Calibri" w:hAnsi="Calibri" w:eastAsia="思源黑体 CN Normal" w:cs="Calibri"/>
                <w:b/>
                <w:bCs/>
                <w:color w:val="008CD6"/>
                <w:sz w:val="40"/>
                <w:szCs w:val="40"/>
                <w:lang w:val="en-US" w:eastAsia="zh-CN"/>
              </w:rPr>
              <w:t>H</w:t>
            </w:r>
            <w:r>
              <w:rPr>
                <w:rFonts w:ascii="Calibri" w:hAnsi="Calibri" w:eastAsia="思源黑体 CN Normal" w:cs="Calibri"/>
                <w:b/>
                <w:bCs/>
                <w:color w:val="008CD6"/>
                <w:sz w:val="40"/>
                <w:szCs w:val="40"/>
              </w:rPr>
              <w:t>igh-speed 2D scanning platform</w:t>
            </w:r>
          </w:p>
        </w:tc>
      </w:tr>
      <w:tr w14:paraId="7E212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  <w:jc w:val="center"/>
        </w:trPr>
        <w:tc>
          <w:tcPr>
            <w:tcW w:w="7909" w:type="dxa"/>
            <w:vAlign w:val="center"/>
          </w:tcPr>
          <w:p w14:paraId="15C333D0">
            <w:pPr>
              <w:snapToGrid w:val="0"/>
              <w:spacing w:before="240" w:line="360" w:lineRule="auto"/>
              <w:rPr>
                <w:rFonts w:ascii="Calibri" w:hAnsi="Calibri" w:eastAsia="思源黑体 CN Normal" w:cs="Calibri"/>
                <w:b/>
                <w:bCs/>
                <w:color w:val="008CD6"/>
                <w:sz w:val="32"/>
                <w:szCs w:val="32"/>
              </w:rPr>
            </w:pPr>
            <w:r>
              <w:rPr>
                <w:rFonts w:ascii="Calibri" w:hAnsi="Calibri" w:eastAsia="思源黑体 CN Normal" w:cs="Calibri"/>
                <w:b/>
                <w:bCs/>
                <w:color w:val="008CD6"/>
                <w:sz w:val="32"/>
                <w:szCs w:val="32"/>
              </w:rPr>
              <w:t>Features:</w:t>
            </w:r>
          </w:p>
          <w:p w14:paraId="7CA77578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Equipped with a new global exposure scan engine</w:t>
            </w:r>
          </w:p>
          <w:p w14:paraId="3F5284AA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Larger scanning window for easier reading</w:t>
            </w:r>
          </w:p>
          <w:p w14:paraId="5BB84233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Adjustable angle, flexible and easy to use</w:t>
            </w:r>
          </w:p>
          <w:p w14:paraId="46D09391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Commonly used function buttons, easier to set</w:t>
            </w:r>
          </w:p>
          <w:p w14:paraId="4AB9F0E0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 styles of beeps, soft and bright LED indicators</w:t>
            </w:r>
          </w:p>
          <w:p w14:paraId="6C1E5596">
            <w:pPr>
              <w:pStyle w:val="10"/>
              <w:numPr>
                <w:ilvl w:val="0"/>
                <w:numId w:val="1"/>
              </w:numPr>
              <w:snapToGrid w:val="0"/>
              <w:spacing w:line="360" w:lineRule="auto"/>
              <w:ind w:firstLineChars="0"/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思源黑体 CN Normal" w:cs="Calibri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Rich interfaces, strong compatibility, support a variety of systems and cash registers</w:t>
            </w:r>
          </w:p>
        </w:tc>
      </w:tr>
    </w:tbl>
    <w:p w14:paraId="7B5AA95D">
      <w:pPr>
        <w:spacing w:line="360" w:lineRule="auto"/>
        <w:jc w:val="left"/>
        <w:rPr>
          <w:rFonts w:ascii="Calibri" w:hAnsi="Calibri" w:cs="Calibri" w:eastAsiaTheme="minorEastAsia"/>
          <w:b/>
          <w:bCs/>
          <w:color w:val="008CD6"/>
          <w:szCs w:val="21"/>
        </w:rPr>
      </w:pPr>
    </w:p>
    <w:p w14:paraId="572FD54D">
      <w:pPr>
        <w:snapToGrid w:val="0"/>
        <w:jc w:val="right"/>
        <w:rPr>
          <w:rFonts w:ascii="Calibri" w:hAnsi="Calibri" w:eastAsia="思源黑体 CN Normal" w:cs="Calibri"/>
          <w:b/>
          <w:bCs/>
          <w:color w:val="0070C0"/>
          <w:sz w:val="22"/>
          <w:szCs w:val="22"/>
        </w:rPr>
      </w:pPr>
      <w:r>
        <w:rPr>
          <w:rFonts w:hint="eastAsia" w:ascii="Calibri" w:hAnsi="Calibri" w:eastAsia="思源黑体 CN Normal" w:cs="Calibri"/>
          <w:b/>
          <w:bCs/>
          <w:color w:val="0070C0"/>
          <w:sz w:val="22"/>
          <w:szCs w:val="22"/>
        </w:rPr>
        <w:t>IBC-X21/ IBC-X21L</w:t>
      </w:r>
      <w:r>
        <w:rPr>
          <w:rFonts w:ascii="Calibri" w:hAnsi="Calibri" w:eastAsia="思源黑体 CN Normal" w:cs="Calibri"/>
          <w:b/>
          <w:bCs/>
          <w:color w:val="0070C0"/>
          <w:sz w:val="22"/>
          <w:szCs w:val="22"/>
        </w:rPr>
        <w:t xml:space="preserve"> technical parameters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2155"/>
        <w:gridCol w:w="5868"/>
      </w:tblGrid>
      <w:tr w14:paraId="4B7DE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7899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59707D26">
            <w:pPr>
              <w:snapToGrid w:val="0"/>
              <w:jc w:val="left"/>
              <w:rPr>
                <w:rFonts w:ascii="Calibri" w:hAnsi="Calibri" w:eastAsia="思源黑体 CN Normal" w:cs="Calibri"/>
              </w:rPr>
            </w:pPr>
            <w:r>
              <w:rPr>
                <w:rFonts w:ascii="Calibri" w:hAnsi="Calibri" w:eastAsia="思源黑体 CN Normal" w:cs="Calibri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Physical parameters</w:t>
            </w:r>
          </w:p>
        </w:tc>
      </w:tr>
      <w:tr w14:paraId="26000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94D590E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Scan mode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75E4167">
            <w:pPr>
              <w:snapToGrid w:val="0"/>
              <w:jc w:val="left"/>
              <w:rPr>
                <w:rFonts w:ascii="Calibri" w:hAnsi="Calibri" w:eastAsia="思源黑体 CN Normal" w:cs="Calibri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Auto-sensing/continuous scanning</w:t>
            </w:r>
          </w:p>
        </w:tc>
      </w:tr>
      <w:tr w14:paraId="5EB43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ADA0277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Communication interface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489D8997">
            <w:pPr>
              <w:snapToGrid w:val="0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USB-HID keyboard, USB-COM virtual serial port, RS232 serial port (optional).</w:t>
            </w:r>
          </w:p>
        </w:tc>
      </w:tr>
      <w:tr w14:paraId="5956C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1CEBA6D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Interface type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2D2BAD8">
            <w:pPr>
              <w:snapToGrid w:val="0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USB TYPE-B</w:t>
            </w:r>
          </w:p>
        </w:tc>
      </w:tr>
      <w:tr w14:paraId="08EE4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7079B76E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Prompt way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087EF0F3">
            <w:pPr>
              <w:snapToGrid w:val="0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Buzzer, LED light</w:t>
            </w:r>
          </w:p>
        </w:tc>
      </w:tr>
      <w:tr w14:paraId="69882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78049ED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How it's set up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FA0DE97">
            <w:pPr>
              <w:snapToGrid w:val="0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Press the button to set it, and manually scan the setting code in turn</w:t>
            </w:r>
          </w:p>
        </w:tc>
      </w:tr>
      <w:tr w14:paraId="338B5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7CDEDA8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Housing material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222FE88">
            <w:pPr>
              <w:snapToGrid w:val="0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ABS+PC</w:t>
            </w:r>
          </w:p>
        </w:tc>
      </w:tr>
      <w:tr w14:paraId="6E9DA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3EB249F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Cable standards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EE8A8B9">
            <w:pPr>
              <w:snapToGrid w:val="0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Straight line 1.5m</w:t>
            </w:r>
          </w:p>
        </w:tc>
      </w:tr>
      <w:tr w14:paraId="0677B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3217ED3D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Exterior dimensions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72BCDCAE">
            <w:pPr>
              <w:snapToGrid w:val="0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155mm× 155mm× 82mm (product),</w:t>
            </w:r>
          </w:p>
          <w:p w14:paraId="5AF5101B">
            <w:pPr>
              <w:snapToGrid w:val="0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210mm× 160.5mm× 100mm (outer packing).</w:t>
            </w:r>
          </w:p>
        </w:tc>
      </w:tr>
      <w:tr w14:paraId="7CDFA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39F08DEF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Weight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C81DBF2">
            <w:pPr>
              <w:snapToGrid w:val="0"/>
              <w:jc w:val="left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Net weight 464.7g, gross weight 664.2g</w:t>
            </w:r>
          </w:p>
        </w:tc>
      </w:tr>
      <w:tr w14:paraId="7887A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7899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67FD392F">
            <w:pPr>
              <w:snapToGrid w:val="0"/>
              <w:rPr>
                <w:rFonts w:ascii="Calibri" w:hAnsi="Calibri" w:eastAsia="思源黑体 CN Normal" w:cs="Calibri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思源黑体 CN Normal" w:cs="Calibri"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Performance parameters</w:t>
            </w:r>
          </w:p>
        </w:tc>
      </w:tr>
      <w:tr w14:paraId="6ECF4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7C079CF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The type of scan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E0DB46A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CMOS global exposure</w:t>
            </w:r>
          </w:p>
        </w:tc>
      </w:tr>
      <w:tr w14:paraId="230E4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19EDCDE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Resolution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68BFA4D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1280*800</w:t>
            </w:r>
          </w:p>
        </w:tc>
      </w:tr>
      <w:tr w14:paraId="5F4B7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660B9A2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Light source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7BE6C3E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617nm red LED</w:t>
            </w:r>
          </w:p>
        </w:tc>
      </w:tr>
      <w:tr w14:paraId="57361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C630302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Scan angle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D775CF6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±70°, ±54°, 360° (left and right, front and back, rotation).</w:t>
            </w:r>
          </w:p>
        </w:tc>
      </w:tr>
      <w:tr w14:paraId="2AEC0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25C00A6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Scan rate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2E91D02D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120 times/second</w:t>
            </w:r>
          </w:p>
        </w:tc>
      </w:tr>
      <w:tr w14:paraId="33098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3C25A0C8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Field of view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0A95E1F1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48° (H) x 30° (V)</w:t>
            </w:r>
          </w:p>
        </w:tc>
      </w:tr>
      <w:tr w14:paraId="57D67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0E8F4BC1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Print contrast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2A59F345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20% minimum</w:t>
            </w:r>
          </w:p>
        </w:tc>
      </w:tr>
      <w:tr w14:paraId="41E80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58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594CF641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Decode the kind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424849F6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1D: UPC-A, UPC-E0, UPC-E1, EAN-8, EAN13, Code128, GS1-128, Code39, Code32, Code93, Code11, Interleaved 2 of 5, Industrial 25, Matrix 2 of 5, Standard 25, CodaBar, MSI-plessey, GS1 Databar</w:t>
            </w:r>
          </w:p>
          <w:p w14:paraId="4809FAD1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2D: QR Code, Data Matrix (DM), PDF417, Maxi Code, Aztec Code, ISSN, NEC-25, COMPOSITE, support mobile screen reading</w:t>
            </w:r>
          </w:p>
        </w:tc>
      </w:tr>
      <w:tr w14:paraId="57523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E497F7D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Minimum resolution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64ACE175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4mil</w:t>
            </w:r>
          </w:p>
        </w:tc>
      </w:tr>
      <w:tr w14:paraId="38538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7899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1E798E44">
            <w:pPr>
              <w:snapToGrid w:val="0"/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  <w:t>Electrical parameters</w:t>
            </w:r>
          </w:p>
        </w:tc>
      </w:tr>
      <w:tr w14:paraId="07B94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76661E2A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Input voltage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6A01E5A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DC 5V±10%</w:t>
            </w:r>
          </w:p>
        </w:tc>
      </w:tr>
      <w:tr w14:paraId="1C8CA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B060667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Current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61307F33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Operating: 240 mA, Standby: 190 mA</w:t>
            </w:r>
          </w:p>
        </w:tc>
      </w:tr>
      <w:tr w14:paraId="7406B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7899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0070C0"/>
            <w:vAlign w:val="center"/>
          </w:tcPr>
          <w:p w14:paraId="4890BF46">
            <w:pPr>
              <w:snapToGrid w:val="0"/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思源黑体 CN Normal" w:cs="Calibri"/>
                <w:color w:val="FFFFFF" w:themeColor="background1"/>
                <w:sz w:val="18"/>
                <w:szCs w:val="16"/>
                <w14:textFill>
                  <w14:solidFill>
                    <w14:schemeClr w14:val="bg1"/>
                  </w14:solidFill>
                </w14:textFill>
              </w:rPr>
              <w:t>Environmental parameters</w:t>
            </w:r>
          </w:p>
        </w:tc>
      </w:tr>
      <w:tr w14:paraId="0A4C8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40A3608F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Temperature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vAlign w:val="center"/>
          </w:tcPr>
          <w:p w14:paraId="56BC210B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0°C-50°C(Working);-20°C~+70°C(Storage).</w:t>
            </w:r>
          </w:p>
        </w:tc>
      </w:tr>
      <w:tr w14:paraId="1DA75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0" w:hRule="atLeast"/>
        </w:trPr>
        <w:tc>
          <w:tcPr>
            <w:tcW w:w="2122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35E4B251">
            <w:pPr>
              <w:snapToGrid w:val="0"/>
              <w:jc w:val="center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Humidity</w:t>
            </w:r>
          </w:p>
        </w:tc>
        <w:tc>
          <w:tcPr>
            <w:tcW w:w="577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1F1F1" w:themeFill="background1" w:themeFillShade="F2"/>
            <w:vAlign w:val="center"/>
          </w:tcPr>
          <w:p w14:paraId="2199A04C">
            <w:pPr>
              <w:snapToGrid w:val="0"/>
              <w:rPr>
                <w:rFonts w:ascii="Calibri" w:hAnsi="Calibri" w:eastAsia="思源黑体 CN Normal" w:cs="Calibri"/>
                <w:sz w:val="18"/>
                <w:szCs w:val="16"/>
              </w:rPr>
            </w:pPr>
            <w:r>
              <w:rPr>
                <w:rFonts w:ascii="Calibri" w:hAnsi="Calibri" w:eastAsia="思源黑体 CN Normal" w:cs="Calibri"/>
                <w:sz w:val="18"/>
                <w:szCs w:val="16"/>
              </w:rPr>
              <w:t>5%-95% non-condensing</w:t>
            </w:r>
          </w:p>
        </w:tc>
      </w:tr>
    </w:tbl>
    <w:p w14:paraId="2E005B83">
      <w:pPr>
        <w:spacing w:line="240" w:lineRule="exact"/>
        <w:jc w:val="left"/>
        <w:rPr>
          <w:rFonts w:ascii="Calibri" w:hAnsi="Calibri" w:cs="Calibri"/>
        </w:rPr>
      </w:pPr>
    </w:p>
    <w:p w14:paraId="768187A7">
      <w:pPr>
        <w:jc w:val="right"/>
        <w:rPr>
          <w:rFonts w:ascii="Calibri" w:hAnsi="Calibri" w:eastAsia="思源黑体 CN Normal" w:cs="Calibri"/>
          <w:color w:val="0070C0"/>
          <w:sz w:val="18"/>
          <w:szCs w:val="16"/>
        </w:rPr>
      </w:pPr>
      <w:r>
        <w:rPr>
          <w:rFonts w:ascii="Calibri" w:hAnsi="Calibri" w:eastAsia="思源黑体 CN Normal" w:cs="Calibri"/>
          <w:color w:val="0070C0"/>
          <w:sz w:val="18"/>
          <w:szCs w:val="16"/>
        </w:rPr>
        <w:t>The above information is subject to change without prior notice</w:t>
      </w:r>
    </w:p>
    <w:sectPr>
      <w:headerReference r:id="rId3" w:type="default"/>
      <w:pgSz w:w="16838" w:h="11906" w:orient="landscape"/>
      <w:pgMar w:top="340" w:right="340" w:bottom="340" w:left="340" w:header="0" w:footer="0" w:gutter="0"/>
      <w:cols w:space="340" w:num="2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altName w:val="黑体"/>
    <w:panose1 w:val="020B0400000000000000"/>
    <w:charset w:val="86"/>
    <w:family w:val="swiss"/>
    <w:pitch w:val="default"/>
    <w:sig w:usb0="00000000" w:usb1="00000000" w:usb2="00000016" w:usb3="00000000" w:csb0="00060107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23C90">
    <w:pPr>
      <w:pStyle w:val="4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209550</wp:posOffset>
          </wp:positionV>
          <wp:extent cx="5046345" cy="3784600"/>
          <wp:effectExtent l="0" t="0" r="1905" b="6350"/>
          <wp:wrapNone/>
          <wp:docPr id="4" name="图片 4" descr="Image contains scene, interior, shop, full&#10;&#10;The description is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Image contains scene, interior, shop, full&#10;&#10;The description is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46453" cy="378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cs="微软雅黑" w:asciiTheme="minorEastAsia" w:hAnsiTheme="minorEastAsia" w:eastAsiaTheme="minorEastAsia"/>
        <w:b/>
        <w:bCs/>
        <w:color w:val="008CD6"/>
        <w:szCs w:val="21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margin">
                <wp:align>left</wp:align>
              </wp:positionH>
              <wp:positionV relativeFrom="margin">
                <wp:align>top</wp:align>
              </wp:positionV>
              <wp:extent cx="2700020" cy="3780155"/>
              <wp:effectExtent l="0" t="0" r="5715" b="0"/>
              <wp:wrapNone/>
              <wp:docPr id="2" name="任意多边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0000" cy="3780000"/>
                      </a:xfrm>
                      <a:custGeom>
                        <a:avLst/>
                        <a:gdLst>
                          <a:gd name="connsiteX0" fmla="*/ 0 w 4057650"/>
                          <a:gd name="connsiteY0" fmla="*/ 0 h 4048125"/>
                          <a:gd name="connsiteX1" fmla="*/ 2990850 w 4057650"/>
                          <a:gd name="connsiteY1" fmla="*/ 0 h 4048125"/>
                          <a:gd name="connsiteX2" fmla="*/ 4057650 w 4057650"/>
                          <a:gd name="connsiteY2" fmla="*/ 4048125 h 4048125"/>
                          <a:gd name="connsiteX3" fmla="*/ 0 w 4057650"/>
                          <a:gd name="connsiteY3" fmla="*/ 4048125 h 4048125"/>
                          <a:gd name="connsiteX4" fmla="*/ 0 w 4057650"/>
                          <a:gd name="connsiteY4" fmla="*/ 0 h 404812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4057650" h="4048125">
                            <a:moveTo>
                              <a:pt x="0" y="0"/>
                            </a:moveTo>
                            <a:lnTo>
                              <a:pt x="2990850" y="0"/>
                            </a:lnTo>
                            <a:lnTo>
                              <a:pt x="4057650" y="4048125"/>
                            </a:lnTo>
                            <a:lnTo>
                              <a:pt x="0" y="404812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height:297.65pt;width:212.6pt;mso-position-horizontal:left;mso-position-horizontal-relative:margin;mso-position-vertical:top;mso-position-vertical-relative:margin;z-index:-251656192;v-text-anchor:middle;mso-width-relative:page;mso-height-relative:page;" fillcolor="#0070C0" filled="t" stroked="f" coordsize="4057650,4048125" o:gfxdata="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AMNX3q1QAAAAUBAAAPAAAAAAAAAAEAIAAAACIAAABkcnMvZG93&#10;bnJldi54bWxQSwECFAAUAAAACACHTuJAE/fBo5IDAABVCQAADgAAAAAAAAABACAAAAAkAQAAZHJz&#10;L2Uyb0RvYy54bWxQSwUGAAAAAAYABgBZAQAAKAcAAAAA&#10;" path="m0,0l2990850,0,4057650,4048125,0,4048125,0,0xe">
              <v:path o:connectlocs="0,0;1990140,0;2700000,3780000;0,3780000;0,0" o:connectangles="0,0,0,0,0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20287C"/>
    <w:multiLevelType w:val="multilevel"/>
    <w:tmpl w:val="712028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909"/>
    <w:rsid w:val="00002AE9"/>
    <w:rsid w:val="000068DC"/>
    <w:rsid w:val="0002348D"/>
    <w:rsid w:val="00026B9D"/>
    <w:rsid w:val="000478FC"/>
    <w:rsid w:val="0005413F"/>
    <w:rsid w:val="000814EC"/>
    <w:rsid w:val="00087C6F"/>
    <w:rsid w:val="00095D89"/>
    <w:rsid w:val="000B7F4C"/>
    <w:rsid w:val="000C72EF"/>
    <w:rsid w:val="000D1523"/>
    <w:rsid w:val="000E5EDA"/>
    <w:rsid w:val="000F3686"/>
    <w:rsid w:val="00111787"/>
    <w:rsid w:val="00115084"/>
    <w:rsid w:val="001301F4"/>
    <w:rsid w:val="001506F1"/>
    <w:rsid w:val="00160B90"/>
    <w:rsid w:val="00163404"/>
    <w:rsid w:val="00182015"/>
    <w:rsid w:val="001D7C14"/>
    <w:rsid w:val="00206123"/>
    <w:rsid w:val="00214C87"/>
    <w:rsid w:val="00216172"/>
    <w:rsid w:val="00232B46"/>
    <w:rsid w:val="00233F32"/>
    <w:rsid w:val="00284D89"/>
    <w:rsid w:val="002871F5"/>
    <w:rsid w:val="002943A1"/>
    <w:rsid w:val="0029580C"/>
    <w:rsid w:val="002A66BD"/>
    <w:rsid w:val="002E4182"/>
    <w:rsid w:val="002F561D"/>
    <w:rsid w:val="00302F00"/>
    <w:rsid w:val="00302F76"/>
    <w:rsid w:val="003269DA"/>
    <w:rsid w:val="003308D1"/>
    <w:rsid w:val="00335984"/>
    <w:rsid w:val="003410A7"/>
    <w:rsid w:val="00362C20"/>
    <w:rsid w:val="003A1032"/>
    <w:rsid w:val="003B3284"/>
    <w:rsid w:val="003C5BC9"/>
    <w:rsid w:val="003C6828"/>
    <w:rsid w:val="003E111B"/>
    <w:rsid w:val="003F4A4A"/>
    <w:rsid w:val="00406AC1"/>
    <w:rsid w:val="004159B7"/>
    <w:rsid w:val="00425827"/>
    <w:rsid w:val="0044642A"/>
    <w:rsid w:val="00467E2C"/>
    <w:rsid w:val="00491AD4"/>
    <w:rsid w:val="004C2D44"/>
    <w:rsid w:val="004C5097"/>
    <w:rsid w:val="00504271"/>
    <w:rsid w:val="00512776"/>
    <w:rsid w:val="00524E8F"/>
    <w:rsid w:val="00533EC9"/>
    <w:rsid w:val="00581D48"/>
    <w:rsid w:val="005C5A1A"/>
    <w:rsid w:val="005C6E55"/>
    <w:rsid w:val="005E357C"/>
    <w:rsid w:val="005E7780"/>
    <w:rsid w:val="00612F85"/>
    <w:rsid w:val="00621786"/>
    <w:rsid w:val="00626B15"/>
    <w:rsid w:val="00642B5D"/>
    <w:rsid w:val="00643F78"/>
    <w:rsid w:val="006936C8"/>
    <w:rsid w:val="00696931"/>
    <w:rsid w:val="006B1118"/>
    <w:rsid w:val="006D7B8D"/>
    <w:rsid w:val="006E2E13"/>
    <w:rsid w:val="006E77BE"/>
    <w:rsid w:val="006F1BD2"/>
    <w:rsid w:val="00701C2D"/>
    <w:rsid w:val="0072227D"/>
    <w:rsid w:val="00723857"/>
    <w:rsid w:val="007241C6"/>
    <w:rsid w:val="007455BD"/>
    <w:rsid w:val="00754C1E"/>
    <w:rsid w:val="00757A0D"/>
    <w:rsid w:val="007678AC"/>
    <w:rsid w:val="00770AD8"/>
    <w:rsid w:val="00776D9D"/>
    <w:rsid w:val="00784F54"/>
    <w:rsid w:val="007A0D80"/>
    <w:rsid w:val="007B113D"/>
    <w:rsid w:val="007B4CE4"/>
    <w:rsid w:val="007C2776"/>
    <w:rsid w:val="007C5BDB"/>
    <w:rsid w:val="007C5DD7"/>
    <w:rsid w:val="007D0749"/>
    <w:rsid w:val="007E4D11"/>
    <w:rsid w:val="007E79B5"/>
    <w:rsid w:val="007F42FE"/>
    <w:rsid w:val="00816092"/>
    <w:rsid w:val="00820224"/>
    <w:rsid w:val="00836746"/>
    <w:rsid w:val="00864D90"/>
    <w:rsid w:val="008A7018"/>
    <w:rsid w:val="008B1489"/>
    <w:rsid w:val="008C5FFF"/>
    <w:rsid w:val="00907F94"/>
    <w:rsid w:val="00913B65"/>
    <w:rsid w:val="00916618"/>
    <w:rsid w:val="00934BD4"/>
    <w:rsid w:val="00936871"/>
    <w:rsid w:val="00937167"/>
    <w:rsid w:val="00947E92"/>
    <w:rsid w:val="0096464F"/>
    <w:rsid w:val="00967DE9"/>
    <w:rsid w:val="00977421"/>
    <w:rsid w:val="0098552D"/>
    <w:rsid w:val="009923C8"/>
    <w:rsid w:val="009A0523"/>
    <w:rsid w:val="009C2B27"/>
    <w:rsid w:val="009D716B"/>
    <w:rsid w:val="00A05941"/>
    <w:rsid w:val="00A0727C"/>
    <w:rsid w:val="00A13625"/>
    <w:rsid w:val="00A336CC"/>
    <w:rsid w:val="00A378BB"/>
    <w:rsid w:val="00A44AEB"/>
    <w:rsid w:val="00A64E46"/>
    <w:rsid w:val="00AA2A78"/>
    <w:rsid w:val="00AA3C01"/>
    <w:rsid w:val="00AB7F52"/>
    <w:rsid w:val="00AF5BB2"/>
    <w:rsid w:val="00B01DCA"/>
    <w:rsid w:val="00B04531"/>
    <w:rsid w:val="00B346E0"/>
    <w:rsid w:val="00B34933"/>
    <w:rsid w:val="00B45F01"/>
    <w:rsid w:val="00B51A36"/>
    <w:rsid w:val="00B624F3"/>
    <w:rsid w:val="00BC2DB3"/>
    <w:rsid w:val="00BD11E6"/>
    <w:rsid w:val="00C21307"/>
    <w:rsid w:val="00C27F69"/>
    <w:rsid w:val="00D015EC"/>
    <w:rsid w:val="00D12DAB"/>
    <w:rsid w:val="00D1389B"/>
    <w:rsid w:val="00D429D4"/>
    <w:rsid w:val="00D51E38"/>
    <w:rsid w:val="00D7200B"/>
    <w:rsid w:val="00D87476"/>
    <w:rsid w:val="00D9260B"/>
    <w:rsid w:val="00D934BA"/>
    <w:rsid w:val="00DB47D7"/>
    <w:rsid w:val="00DD6748"/>
    <w:rsid w:val="00DE401A"/>
    <w:rsid w:val="00DF0053"/>
    <w:rsid w:val="00E01693"/>
    <w:rsid w:val="00E31ED7"/>
    <w:rsid w:val="00E35973"/>
    <w:rsid w:val="00E6359A"/>
    <w:rsid w:val="00E758BE"/>
    <w:rsid w:val="00EA680E"/>
    <w:rsid w:val="00ED2530"/>
    <w:rsid w:val="00F3656B"/>
    <w:rsid w:val="00F60F17"/>
    <w:rsid w:val="00F6482E"/>
    <w:rsid w:val="00F70F8B"/>
    <w:rsid w:val="00F74F44"/>
    <w:rsid w:val="00F76415"/>
    <w:rsid w:val="00F81024"/>
    <w:rsid w:val="00F84FC4"/>
    <w:rsid w:val="00FB4ED3"/>
    <w:rsid w:val="00FB6909"/>
    <w:rsid w:val="00FC4BAE"/>
    <w:rsid w:val="00FF3E11"/>
    <w:rsid w:val="00FF6C15"/>
    <w:rsid w:val="04AC0900"/>
    <w:rsid w:val="04AE5AD1"/>
    <w:rsid w:val="0D3D47D9"/>
    <w:rsid w:val="15573DCA"/>
    <w:rsid w:val="19B4337B"/>
    <w:rsid w:val="1CF10318"/>
    <w:rsid w:val="276B5EFB"/>
    <w:rsid w:val="2D3F5748"/>
    <w:rsid w:val="33B61654"/>
    <w:rsid w:val="372828DF"/>
    <w:rsid w:val="38AA0061"/>
    <w:rsid w:val="38CB7458"/>
    <w:rsid w:val="3E5C3C83"/>
    <w:rsid w:val="40BD7093"/>
    <w:rsid w:val="42D226A2"/>
    <w:rsid w:val="4818034D"/>
    <w:rsid w:val="49BB3531"/>
    <w:rsid w:val="51B227CA"/>
    <w:rsid w:val="5E9C2E80"/>
    <w:rsid w:val="64F52F99"/>
    <w:rsid w:val="6AB7762C"/>
    <w:rsid w:val="6C132B6D"/>
    <w:rsid w:val="716E2D2F"/>
    <w:rsid w:val="744E0F35"/>
    <w:rsid w:val="798A0DAA"/>
    <w:rsid w:val="7D56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yperlink"/>
    <w:basedOn w:val="7"/>
    <w:qFormat/>
    <w:uiPriority w:val="99"/>
    <w:rPr>
      <w:color w:val="0000FF"/>
      <w:u w:val="single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">
    <w:name w:val="批注框文本 字符"/>
    <w:basedOn w:val="7"/>
    <w:link w:val="2"/>
    <w:qFormat/>
    <w:uiPriority w:val="0"/>
    <w:rPr>
      <w:kern w:val="2"/>
      <w:sz w:val="18"/>
      <w:szCs w:val="18"/>
    </w:rPr>
  </w:style>
  <w:style w:type="character" w:styleId="12">
    <w:name w:val="Placeholder Text"/>
    <w:basedOn w:val="7"/>
    <w:unhideWhenUs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6164;&#26009;\&#20135;&#21697;&#36164;&#26009;&#26032;\&#35835;&#21345;&#22120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EB07F6-A25A-47DD-9B55-8A77E75D2A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读卡器.dotx</Template>
  <Pages>1</Pages>
  <Words>255</Words>
  <Characters>1512</Characters>
  <Lines>12</Lines>
  <Paragraphs>3</Paragraphs>
  <TotalTime>0</TotalTime>
  <ScaleCrop>false</ScaleCrop>
  <LinksUpToDate>false</LinksUpToDate>
  <CharactersWithSpaces>1716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2023-11-10T06:48:00Z</dcterms:created>
  <dc:creator>user</dc:creator>
  <cp:lastModifiedBy>风信子</cp:lastModifiedBy>
  <cp:lastPrinted>2023-12-15T10:22:00Z</cp:lastPrinted>
  <dcterms:modified xsi:type="dcterms:W3CDTF">2026-06-21T04:19:28Z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2022-09-07T10:16:47Z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bd159e5e-b559-4bda-97b7-f5aa68c20273</vt:lpwstr>
  </property>
  <property fmtid="{D5CDD505-2E9C-101B-9397-08002B2CF9AE}" pid="8" name="MSIP_Label_defa4170-0d19-0005-0004-bc88714345d2_ActionId">
    <vt:lpwstr>3c62f8cb-d70b-40e7-a2e8-d19a2d0e991b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TemplateDocerSaveRecord">
    <vt:lpwstr>eyJoZGlkIjoiZWE0ZWEwNzliNTIzN2RmZDczZjdjZDY5NWFmYTczNDciLCJ1c2VySWQiOiIyNjYwMTAxMzQifQ==</vt:lpwstr>
  </property>
  <property fmtid="{D5CDD505-2E9C-101B-9397-08002B2CF9AE}" pid="11" name="ICV">
    <vt:lpwstr>CDA79C49E59D408BBE566C9177089F0C_12</vt:lpwstr>
  </property>
</Properties>
</file>