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7FDE" w14:textId="20C080DE" w:rsidR="008473D3" w:rsidRPr="00DD3244" w:rsidRDefault="00A45EC2" w:rsidP="00A45EC2">
      <w:pPr>
        <w:jc w:val="center"/>
        <w:rPr>
          <w:b/>
          <w:bCs/>
          <w:sz w:val="32"/>
          <w:szCs w:val="36"/>
        </w:rPr>
      </w:pPr>
      <w:r w:rsidRPr="00DD3244">
        <w:rPr>
          <w:rFonts w:hint="eastAsia"/>
          <w:b/>
          <w:bCs/>
          <w:sz w:val="32"/>
          <w:szCs w:val="36"/>
        </w:rPr>
        <w:t>Applied Regression II,</w:t>
      </w:r>
      <w:r w:rsidR="00DD3244">
        <w:rPr>
          <w:b/>
          <w:bCs/>
          <w:sz w:val="32"/>
          <w:szCs w:val="36"/>
        </w:rPr>
        <w:tab/>
      </w:r>
      <w:r w:rsidRPr="00DD3244">
        <w:rPr>
          <w:rFonts w:hint="eastAsia"/>
          <w:b/>
          <w:bCs/>
          <w:sz w:val="32"/>
          <w:szCs w:val="36"/>
        </w:rPr>
        <w:t xml:space="preserve">Homework </w:t>
      </w:r>
      <w:r w:rsidR="009A7DCB">
        <w:rPr>
          <w:b/>
          <w:bCs/>
          <w:sz w:val="32"/>
          <w:szCs w:val="36"/>
        </w:rPr>
        <w:t>4</w:t>
      </w:r>
    </w:p>
    <w:p w14:paraId="15E38410" w14:textId="57E7756B" w:rsidR="009A7DCB" w:rsidRPr="00685508" w:rsidRDefault="00EA5E8D" w:rsidP="00EA5E8D">
      <w:pPr>
        <w:pStyle w:val="ListParagraph"/>
        <w:numPr>
          <w:ilvl w:val="0"/>
          <w:numId w:val="1"/>
        </w:numPr>
        <w:rPr>
          <w:rFonts w:ascii="Times New Roman" w:hAnsi="Times New Roman" w:cs="Times New Roman"/>
          <w:sz w:val="24"/>
          <w:szCs w:val="28"/>
        </w:rPr>
      </w:pPr>
      <w:r w:rsidRPr="00685508">
        <w:rPr>
          <w:rFonts w:ascii="Times New Roman" w:hAnsi="Times New Roman" w:cs="Times New Roman"/>
          <w:sz w:val="24"/>
          <w:szCs w:val="28"/>
        </w:rPr>
        <w:t>Three Statistical Analysis Topics:</w:t>
      </w:r>
    </w:p>
    <w:p w14:paraId="18F5FB97" w14:textId="0F15A773" w:rsidR="00C81090" w:rsidRPr="00C81090" w:rsidRDefault="00C81090" w:rsidP="00C81090">
      <w:pPr>
        <w:pStyle w:val="ListParagraph"/>
        <w:rPr>
          <w:rFonts w:ascii="Times New Roman" w:hAnsi="Times New Roman" w:cs="Times New Roman"/>
          <w:color w:val="215E99" w:themeColor="text2" w:themeTint="BF"/>
          <w:sz w:val="24"/>
          <w:szCs w:val="28"/>
        </w:rPr>
      </w:pPr>
      <w:r w:rsidRPr="00C81090">
        <w:rPr>
          <w:rFonts w:ascii="Times New Roman" w:hAnsi="Times New Roman" w:cs="Times New Roman"/>
          <w:color w:val="215E99" w:themeColor="text2" w:themeTint="BF"/>
          <w:sz w:val="24"/>
          <w:szCs w:val="28"/>
        </w:rPr>
        <w:t>1. Kaplan-Meier Survival Curves:</w:t>
      </w:r>
      <w:r>
        <w:rPr>
          <w:rFonts w:ascii="Times New Roman" w:hAnsi="Times New Roman" w:cs="Times New Roman" w:hint="eastAsia"/>
          <w:color w:val="215E99" w:themeColor="text2" w:themeTint="BF"/>
          <w:sz w:val="24"/>
          <w:szCs w:val="28"/>
        </w:rPr>
        <w:t xml:space="preserve"> </w:t>
      </w:r>
      <w:r w:rsidR="00685508">
        <w:rPr>
          <w:rFonts w:ascii="Times New Roman" w:hAnsi="Times New Roman" w:cs="Times New Roman"/>
          <w:color w:val="215E99" w:themeColor="text2" w:themeTint="BF"/>
          <w:sz w:val="24"/>
          <w:szCs w:val="28"/>
        </w:rPr>
        <w:t>“</w:t>
      </w:r>
      <w:r w:rsidRPr="00C81090">
        <w:rPr>
          <w:rFonts w:ascii="Times New Roman" w:hAnsi="Times New Roman" w:cs="Times New Roman"/>
          <w:color w:val="215E99" w:themeColor="text2" w:themeTint="BF"/>
          <w:sz w:val="24"/>
          <w:szCs w:val="28"/>
        </w:rPr>
        <w:t>At 10 years, the rate of survival among patients with any grade of prostate cancer was 79.3% in the finasteride group and 79.5% in the placebo group. When men were classified according to cancer grade, the 10-year survival rates were 83.0% in the finasteride group and 80.9% in the placebo group among those with low-grade prostate cancer and 73.0% and 73.6%, respectively, among those with high-grade prostate cancer.</w:t>
      </w:r>
      <w:r w:rsidR="00685508">
        <w:rPr>
          <w:rFonts w:ascii="Times New Roman" w:hAnsi="Times New Roman" w:cs="Times New Roman"/>
          <w:color w:val="215E99" w:themeColor="text2" w:themeTint="BF"/>
          <w:sz w:val="24"/>
          <w:szCs w:val="28"/>
        </w:rPr>
        <w:t>”</w:t>
      </w:r>
    </w:p>
    <w:p w14:paraId="2D624ADB" w14:textId="0E4E567C" w:rsidR="00C81090" w:rsidRPr="00C81090" w:rsidRDefault="00C81090" w:rsidP="00C81090">
      <w:pPr>
        <w:ind w:left="660" w:firstLine="60"/>
        <w:rPr>
          <w:rFonts w:ascii="Times New Roman" w:hAnsi="Times New Roman" w:cs="Times New Roman"/>
          <w:color w:val="215E99" w:themeColor="text2" w:themeTint="BF"/>
          <w:sz w:val="24"/>
          <w:szCs w:val="28"/>
        </w:rPr>
      </w:pPr>
      <w:r w:rsidRPr="00C81090">
        <w:rPr>
          <w:rFonts w:ascii="Times New Roman" w:hAnsi="Times New Roman" w:cs="Times New Roman"/>
          <w:color w:val="215E99" w:themeColor="text2" w:themeTint="BF"/>
          <w:sz w:val="24"/>
          <w:szCs w:val="28"/>
        </w:rPr>
        <w:t>2. Cox Proportional Hazards Model:</w:t>
      </w:r>
      <w:r>
        <w:rPr>
          <w:rFonts w:ascii="Times New Roman" w:hAnsi="Times New Roman" w:cs="Times New Roman" w:hint="eastAsia"/>
          <w:color w:val="215E99" w:themeColor="text2" w:themeTint="BF"/>
          <w:sz w:val="24"/>
          <w:szCs w:val="28"/>
        </w:rPr>
        <w:t xml:space="preserve"> </w:t>
      </w:r>
      <w:r w:rsidR="00685508">
        <w:rPr>
          <w:rFonts w:ascii="Times New Roman" w:hAnsi="Times New Roman" w:cs="Times New Roman"/>
          <w:color w:val="215E99" w:themeColor="text2" w:themeTint="BF"/>
          <w:sz w:val="24"/>
          <w:szCs w:val="28"/>
        </w:rPr>
        <w:t>“</w:t>
      </w:r>
      <w:r w:rsidRPr="00C81090">
        <w:rPr>
          <w:rFonts w:ascii="Times New Roman" w:hAnsi="Times New Roman" w:cs="Times New Roman"/>
          <w:color w:val="215E99" w:themeColor="text2" w:themeTint="BF"/>
          <w:sz w:val="24"/>
          <w:szCs w:val="28"/>
        </w:rPr>
        <w:t>A Cox model was used to estimate hazard ratios for death associated with the two treatments, after adjustment for risk factors. The covariates that were included in the model for overall survival were the age at study entry as a continuous variable, race (black vs. nonblack), and a time-dependent variable for the diagnosis of prostate cancer.</w:t>
      </w:r>
      <w:r w:rsidR="00685508">
        <w:rPr>
          <w:rFonts w:ascii="Times New Roman" w:hAnsi="Times New Roman" w:cs="Times New Roman"/>
          <w:color w:val="215E99" w:themeColor="text2" w:themeTint="BF"/>
          <w:sz w:val="24"/>
          <w:szCs w:val="28"/>
        </w:rPr>
        <w:t>”</w:t>
      </w:r>
    </w:p>
    <w:p w14:paraId="57D094BD" w14:textId="2E0D5BCB" w:rsidR="00685508" w:rsidRPr="00685508" w:rsidRDefault="00C81090" w:rsidP="00685508">
      <w:pPr>
        <w:ind w:left="660"/>
        <w:rPr>
          <w:rFonts w:ascii="Times New Roman" w:hAnsi="Times New Roman" w:cs="Times New Roman"/>
          <w:color w:val="215E99" w:themeColor="text2" w:themeTint="BF"/>
          <w:sz w:val="24"/>
          <w:szCs w:val="28"/>
        </w:rPr>
      </w:pPr>
      <w:r w:rsidRPr="00AD6832">
        <w:rPr>
          <w:rFonts w:ascii="Times New Roman" w:hAnsi="Times New Roman" w:cs="Times New Roman"/>
          <w:color w:val="215E99" w:themeColor="text2" w:themeTint="BF"/>
          <w:sz w:val="24"/>
          <w:szCs w:val="28"/>
        </w:rPr>
        <w:t>3. Hazard Ratios:</w:t>
      </w:r>
      <w:r w:rsidR="00AD6832">
        <w:rPr>
          <w:rFonts w:ascii="Times New Roman" w:hAnsi="Times New Roman" w:cs="Times New Roman" w:hint="eastAsia"/>
          <w:color w:val="215E99" w:themeColor="text2" w:themeTint="BF"/>
          <w:sz w:val="24"/>
          <w:szCs w:val="28"/>
        </w:rPr>
        <w:t xml:space="preserve"> </w:t>
      </w:r>
      <w:r w:rsidR="00685508">
        <w:rPr>
          <w:rFonts w:ascii="Times New Roman" w:hAnsi="Times New Roman" w:cs="Times New Roman"/>
          <w:color w:val="215E99" w:themeColor="text2" w:themeTint="BF"/>
          <w:sz w:val="24"/>
          <w:szCs w:val="28"/>
        </w:rPr>
        <w:t>“</w:t>
      </w:r>
      <w:r w:rsidRPr="00AD6832">
        <w:rPr>
          <w:rFonts w:ascii="Times New Roman" w:hAnsi="Times New Roman" w:cs="Times New Roman"/>
          <w:color w:val="215E99" w:themeColor="text2" w:themeTint="BF"/>
          <w:sz w:val="24"/>
          <w:szCs w:val="28"/>
        </w:rPr>
        <w:t>The unadjusted hazard ratio for death in the finasteride group was 1.02 (95% CI, 0.97 to 1.08; P=0.46); after adjustment for age, race, and a diagnosis of prostate cancer, the hazard ratio was 1.03 (95% CI, 0.98 to 1.09; P=0.26)</w:t>
      </w:r>
      <w:r w:rsidR="00685508">
        <w:rPr>
          <w:rFonts w:ascii="Times New Roman" w:hAnsi="Times New Roman" w:cs="Times New Roman"/>
          <w:color w:val="215E99" w:themeColor="text2" w:themeTint="BF"/>
          <w:sz w:val="24"/>
          <w:szCs w:val="28"/>
        </w:rPr>
        <w:t>.”</w:t>
      </w:r>
    </w:p>
    <w:p w14:paraId="276479E9" w14:textId="2CE0FFB2" w:rsidR="00EA5E8D" w:rsidRPr="00685508" w:rsidRDefault="00EA5E8D" w:rsidP="00685508">
      <w:pPr>
        <w:pStyle w:val="ListParagraph"/>
        <w:numPr>
          <w:ilvl w:val="0"/>
          <w:numId w:val="5"/>
        </w:numPr>
        <w:rPr>
          <w:rFonts w:ascii="Times New Roman" w:hAnsi="Times New Roman" w:cs="Times New Roman"/>
          <w:sz w:val="24"/>
          <w:szCs w:val="28"/>
        </w:rPr>
      </w:pPr>
      <w:r w:rsidRPr="00685508">
        <w:rPr>
          <w:rFonts w:ascii="Times New Roman" w:hAnsi="Times New Roman" w:cs="Times New Roman"/>
          <w:sz w:val="24"/>
          <w:szCs w:val="28"/>
        </w:rPr>
        <w:t>Co</w:t>
      </w:r>
      <w:r w:rsidR="0011059F" w:rsidRPr="00685508">
        <w:rPr>
          <w:rFonts w:ascii="Times New Roman" w:hAnsi="Times New Roman" w:cs="Times New Roman"/>
          <w:sz w:val="24"/>
          <w:szCs w:val="28"/>
        </w:rPr>
        <w:t>mments on their Descriptions:</w:t>
      </w:r>
    </w:p>
    <w:p w14:paraId="38F625F1"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1. Kaplan-Meier Survival Curves:</w:t>
      </w:r>
    </w:p>
    <w:p w14:paraId="4BCDB0E6" w14:textId="590D448A"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 xml:space="preserve">The description is partially sufficient. While it provides point estimates for survival rates </w:t>
      </w:r>
      <w:proofErr w:type="gramStart"/>
      <w:r w:rsidRPr="0044617F">
        <w:rPr>
          <w:rFonts w:ascii="Times New Roman" w:hAnsi="Times New Roman" w:cs="Times New Roman"/>
          <w:color w:val="215E99" w:themeColor="text2" w:themeTint="BF"/>
          <w:sz w:val="24"/>
          <w:szCs w:val="28"/>
        </w:rPr>
        <w:t>at</w:t>
      </w:r>
      <w:proofErr w:type="gramEnd"/>
      <w:r w:rsidRPr="0044617F">
        <w:rPr>
          <w:rFonts w:ascii="Times New Roman" w:hAnsi="Times New Roman" w:cs="Times New Roman"/>
          <w:color w:val="215E99" w:themeColor="text2" w:themeTint="BF"/>
          <w:sz w:val="24"/>
          <w:szCs w:val="28"/>
        </w:rPr>
        <w:t xml:space="preserve"> 10 years, it could be improved by:</w:t>
      </w:r>
    </w:p>
    <w:p w14:paraId="2D084E22"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Including 95% confidence intervals for all survival rate estimates</w:t>
      </w:r>
    </w:p>
    <w:p w14:paraId="32AA3B61"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Mentioning the number at risk at different time points</w:t>
      </w:r>
    </w:p>
    <w:p w14:paraId="7D59AD0A" w14:textId="1876795F"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Describing how ties and censoring were handled</w:t>
      </w:r>
    </w:p>
    <w:p w14:paraId="745059E2"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2. Cox Proportional Hazards Model:</w:t>
      </w:r>
    </w:p>
    <w:p w14:paraId="7806F54F" w14:textId="218C7DFA"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The description needs improvement. While it lists the covariates, it lacks:</w:t>
      </w:r>
    </w:p>
    <w:p w14:paraId="3DFDD461"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 xml:space="preserve">Verification of the proportional </w:t>
      </w:r>
      <w:proofErr w:type="gramStart"/>
      <w:r w:rsidRPr="0044617F">
        <w:rPr>
          <w:rFonts w:ascii="Times New Roman" w:hAnsi="Times New Roman" w:cs="Times New Roman"/>
          <w:color w:val="215E99" w:themeColor="text2" w:themeTint="BF"/>
          <w:sz w:val="24"/>
          <w:szCs w:val="28"/>
        </w:rPr>
        <w:t>hazards</w:t>
      </w:r>
      <w:proofErr w:type="gramEnd"/>
      <w:r w:rsidRPr="0044617F">
        <w:rPr>
          <w:rFonts w:ascii="Times New Roman" w:hAnsi="Times New Roman" w:cs="Times New Roman"/>
          <w:color w:val="215E99" w:themeColor="text2" w:themeTint="BF"/>
          <w:sz w:val="24"/>
          <w:szCs w:val="28"/>
        </w:rPr>
        <w:t xml:space="preserve"> assumption (though mentioned elsewhere: "The proportional-hazards assumption for both models was tested")</w:t>
      </w:r>
    </w:p>
    <w:p w14:paraId="4DC970AB"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Details on how the time-dependent covariate was implemented</w:t>
      </w:r>
    </w:p>
    <w:p w14:paraId="43F42B62"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Information about model diagnostics or goodness-of-fit</w:t>
      </w:r>
    </w:p>
    <w:p w14:paraId="3F47F8F2" w14:textId="591E409D"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Interaction terms (mentioned elsewhere but not in this primary description)</w:t>
      </w:r>
    </w:p>
    <w:p w14:paraId="47263142"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lastRenderedPageBreak/>
        <w:t>3. Hazard Ratios:</w:t>
      </w:r>
    </w:p>
    <w:p w14:paraId="1F3C868C"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The description is quite sufficient as it provides both unadjusted and adjusted hazard ratios with 95% CIs and p-values. However, it could be enhanced by:</w:t>
      </w:r>
    </w:p>
    <w:p w14:paraId="281B4435"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Clarifying the interpretation (e.g., "a hazard ratio of 1.02 indicates a 2% increased risk of death")</w:t>
      </w:r>
    </w:p>
    <w:p w14:paraId="39145E20" w14:textId="77777777" w:rsidR="0044617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Specifying the reference group more explicitly</w:t>
      </w:r>
    </w:p>
    <w:p w14:paraId="0572D5DA" w14:textId="5D6BC64B" w:rsidR="0011059F" w:rsidRPr="0044617F" w:rsidRDefault="0044617F" w:rsidP="0044617F">
      <w:pPr>
        <w:ind w:left="420"/>
        <w:rPr>
          <w:rFonts w:ascii="Times New Roman" w:hAnsi="Times New Roman" w:cs="Times New Roman"/>
          <w:color w:val="215E99" w:themeColor="text2" w:themeTint="BF"/>
          <w:sz w:val="24"/>
          <w:szCs w:val="28"/>
        </w:rPr>
      </w:pPr>
      <w:r w:rsidRPr="0044617F">
        <w:rPr>
          <w:rFonts w:ascii="Times New Roman" w:hAnsi="Times New Roman" w:cs="Times New Roman"/>
          <w:color w:val="215E99" w:themeColor="text2" w:themeTint="BF"/>
          <w:sz w:val="24"/>
          <w:szCs w:val="28"/>
        </w:rPr>
        <w:t>Providing hazard ratios for other covariates in the model to show their relative importance</w:t>
      </w:r>
    </w:p>
    <w:p w14:paraId="6712AD65" w14:textId="21A18EF3" w:rsidR="00F33905" w:rsidRPr="009A7DCB" w:rsidRDefault="00F33905" w:rsidP="009A7DCB">
      <w:pPr>
        <w:rPr>
          <w:rFonts w:ascii="Times New Roman" w:hAnsi="Times New Roman" w:cs="Times New Roman"/>
          <w:color w:val="215E99" w:themeColor="text2" w:themeTint="BF"/>
          <w:sz w:val="24"/>
          <w:szCs w:val="28"/>
        </w:rPr>
      </w:pPr>
    </w:p>
    <w:sectPr w:rsidR="00F33905" w:rsidRPr="009A7DC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215A8" w14:textId="77777777" w:rsidR="00221252" w:rsidRDefault="00221252" w:rsidP="00A45EC2">
      <w:pPr>
        <w:spacing w:after="0" w:line="240" w:lineRule="auto"/>
      </w:pPr>
      <w:r>
        <w:separator/>
      </w:r>
    </w:p>
  </w:endnote>
  <w:endnote w:type="continuationSeparator" w:id="0">
    <w:p w14:paraId="1FC0AA79" w14:textId="77777777" w:rsidR="00221252" w:rsidRDefault="00221252" w:rsidP="00A45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544F" w14:textId="77777777" w:rsidR="00A45EC2" w:rsidRDefault="00A45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60D1" w14:textId="77777777" w:rsidR="00A45EC2" w:rsidRDefault="00A45E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AA77" w14:textId="77777777" w:rsidR="00A45EC2" w:rsidRDefault="00A45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869C9" w14:textId="77777777" w:rsidR="00221252" w:rsidRDefault="00221252" w:rsidP="00A45EC2">
      <w:pPr>
        <w:spacing w:after="0" w:line="240" w:lineRule="auto"/>
      </w:pPr>
      <w:r>
        <w:separator/>
      </w:r>
    </w:p>
  </w:footnote>
  <w:footnote w:type="continuationSeparator" w:id="0">
    <w:p w14:paraId="6D5907E0" w14:textId="77777777" w:rsidR="00221252" w:rsidRDefault="00221252" w:rsidP="00A45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7CD7" w14:textId="77777777" w:rsidR="00A45EC2" w:rsidRDefault="00A45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7B4B" w14:textId="2D706978" w:rsidR="00A45EC2" w:rsidRDefault="00A45EC2">
    <w:pPr>
      <w:pStyle w:val="Header"/>
    </w:pPr>
    <w:r>
      <w:rPr>
        <w:rFonts w:hint="eastAsia"/>
      </w:rPr>
      <w:t>Xuange Liang</w:t>
    </w:r>
  </w:p>
  <w:p w14:paraId="0B5FDE5F" w14:textId="5276F207" w:rsidR="00A45EC2" w:rsidRDefault="00A45EC2">
    <w:pPr>
      <w:pStyle w:val="Header"/>
    </w:pPr>
    <w:r>
      <w:rPr>
        <w:rFonts w:hint="eastAsia"/>
      </w:rPr>
      <w:t>xl3493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F5B54" w14:textId="77777777" w:rsidR="00A45EC2" w:rsidRDefault="00A45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36BD"/>
    <w:multiLevelType w:val="hybridMultilevel"/>
    <w:tmpl w:val="1980C542"/>
    <w:lvl w:ilvl="0" w:tplc="0BD2D1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340CDF"/>
    <w:multiLevelType w:val="hybridMultilevel"/>
    <w:tmpl w:val="B0041E02"/>
    <w:lvl w:ilvl="0" w:tplc="1D7693B2">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4036B2"/>
    <w:multiLevelType w:val="hybridMultilevel"/>
    <w:tmpl w:val="FEC8FEBC"/>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 w15:restartNumberingAfterBreak="0">
    <w:nsid w:val="4BCC161C"/>
    <w:multiLevelType w:val="hybridMultilevel"/>
    <w:tmpl w:val="FF68C404"/>
    <w:lvl w:ilvl="0" w:tplc="1D7693B2">
      <w:start w:val="1"/>
      <w:numFmt w:val="lowerLetter"/>
      <w:lvlText w:val="(%1)"/>
      <w:lvlJc w:val="left"/>
      <w:pPr>
        <w:ind w:left="78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541A32E8"/>
    <w:multiLevelType w:val="hybridMultilevel"/>
    <w:tmpl w:val="69206C02"/>
    <w:lvl w:ilvl="0" w:tplc="D9B0F0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403784">
    <w:abstractNumId w:val="1"/>
  </w:num>
  <w:num w:numId="2" w16cid:durableId="75052775">
    <w:abstractNumId w:val="0"/>
  </w:num>
  <w:num w:numId="3" w16cid:durableId="197863375">
    <w:abstractNumId w:val="4"/>
  </w:num>
  <w:num w:numId="4" w16cid:durableId="608777023">
    <w:abstractNumId w:val="2"/>
  </w:num>
  <w:num w:numId="5" w16cid:durableId="124735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19"/>
    <w:rsid w:val="000101F7"/>
    <w:rsid w:val="00042CF6"/>
    <w:rsid w:val="00044309"/>
    <w:rsid w:val="00061FBE"/>
    <w:rsid w:val="0011059F"/>
    <w:rsid w:val="001159C6"/>
    <w:rsid w:val="001976FD"/>
    <w:rsid w:val="001D186C"/>
    <w:rsid w:val="001E0AAE"/>
    <w:rsid w:val="001E281F"/>
    <w:rsid w:val="0020135F"/>
    <w:rsid w:val="00221252"/>
    <w:rsid w:val="00232A10"/>
    <w:rsid w:val="00333141"/>
    <w:rsid w:val="003675F4"/>
    <w:rsid w:val="00370E65"/>
    <w:rsid w:val="003F22E5"/>
    <w:rsid w:val="0044617F"/>
    <w:rsid w:val="00446828"/>
    <w:rsid w:val="00457C16"/>
    <w:rsid w:val="00502819"/>
    <w:rsid w:val="00644330"/>
    <w:rsid w:val="00677FDA"/>
    <w:rsid w:val="00685508"/>
    <w:rsid w:val="00734935"/>
    <w:rsid w:val="007E52CC"/>
    <w:rsid w:val="008070A5"/>
    <w:rsid w:val="008473D3"/>
    <w:rsid w:val="00854EE5"/>
    <w:rsid w:val="00893CB1"/>
    <w:rsid w:val="008B30EE"/>
    <w:rsid w:val="00921DF1"/>
    <w:rsid w:val="00934F7D"/>
    <w:rsid w:val="00935D6A"/>
    <w:rsid w:val="00941889"/>
    <w:rsid w:val="00967F6E"/>
    <w:rsid w:val="009A7DCB"/>
    <w:rsid w:val="009D39D8"/>
    <w:rsid w:val="00A22C53"/>
    <w:rsid w:val="00A45EC2"/>
    <w:rsid w:val="00A77417"/>
    <w:rsid w:val="00A9150A"/>
    <w:rsid w:val="00AD6832"/>
    <w:rsid w:val="00BD380E"/>
    <w:rsid w:val="00C81090"/>
    <w:rsid w:val="00CB54F9"/>
    <w:rsid w:val="00CC7D12"/>
    <w:rsid w:val="00DD3244"/>
    <w:rsid w:val="00E313AF"/>
    <w:rsid w:val="00E416AC"/>
    <w:rsid w:val="00E83681"/>
    <w:rsid w:val="00E85291"/>
    <w:rsid w:val="00EA5E8D"/>
    <w:rsid w:val="00EB5708"/>
    <w:rsid w:val="00F33905"/>
    <w:rsid w:val="00F71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5B5F"/>
  <w15:chartTrackingRefBased/>
  <w15:docId w15:val="{7A3AC395-BDCA-40D8-AAEF-5EB55BA5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291"/>
    <w:pPr>
      <w:widowControl w:val="0"/>
    </w:pPr>
  </w:style>
  <w:style w:type="paragraph" w:styleId="Heading1">
    <w:name w:val="heading 1"/>
    <w:basedOn w:val="Normal"/>
    <w:next w:val="Normal"/>
    <w:link w:val="Heading1Char"/>
    <w:uiPriority w:val="9"/>
    <w:qFormat/>
    <w:rsid w:val="0050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819"/>
    <w:rPr>
      <w:rFonts w:eastAsiaTheme="majorEastAsia" w:cstheme="majorBidi"/>
      <w:color w:val="272727" w:themeColor="text1" w:themeTint="D8"/>
    </w:rPr>
  </w:style>
  <w:style w:type="paragraph" w:styleId="Title">
    <w:name w:val="Title"/>
    <w:basedOn w:val="Normal"/>
    <w:next w:val="Normal"/>
    <w:link w:val="TitleChar"/>
    <w:uiPriority w:val="10"/>
    <w:qFormat/>
    <w:rsid w:val="0050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819"/>
    <w:pPr>
      <w:spacing w:before="160"/>
      <w:jc w:val="center"/>
    </w:pPr>
    <w:rPr>
      <w:i/>
      <w:iCs/>
      <w:color w:val="404040" w:themeColor="text1" w:themeTint="BF"/>
    </w:rPr>
  </w:style>
  <w:style w:type="character" w:customStyle="1" w:styleId="QuoteChar">
    <w:name w:val="Quote Char"/>
    <w:basedOn w:val="DefaultParagraphFont"/>
    <w:link w:val="Quote"/>
    <w:uiPriority w:val="29"/>
    <w:rsid w:val="00502819"/>
    <w:rPr>
      <w:i/>
      <w:iCs/>
      <w:color w:val="404040" w:themeColor="text1" w:themeTint="BF"/>
    </w:rPr>
  </w:style>
  <w:style w:type="paragraph" w:styleId="ListParagraph">
    <w:name w:val="List Paragraph"/>
    <w:basedOn w:val="Normal"/>
    <w:uiPriority w:val="34"/>
    <w:qFormat/>
    <w:rsid w:val="00502819"/>
    <w:pPr>
      <w:ind w:left="720"/>
      <w:contextualSpacing/>
    </w:pPr>
  </w:style>
  <w:style w:type="character" w:styleId="IntenseEmphasis">
    <w:name w:val="Intense Emphasis"/>
    <w:basedOn w:val="DefaultParagraphFont"/>
    <w:uiPriority w:val="21"/>
    <w:qFormat/>
    <w:rsid w:val="00502819"/>
    <w:rPr>
      <w:i/>
      <w:iCs/>
      <w:color w:val="0F4761" w:themeColor="accent1" w:themeShade="BF"/>
    </w:rPr>
  </w:style>
  <w:style w:type="paragraph" w:styleId="IntenseQuote">
    <w:name w:val="Intense Quote"/>
    <w:basedOn w:val="Normal"/>
    <w:next w:val="Normal"/>
    <w:link w:val="IntenseQuoteChar"/>
    <w:uiPriority w:val="30"/>
    <w:qFormat/>
    <w:rsid w:val="0050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819"/>
    <w:rPr>
      <w:i/>
      <w:iCs/>
      <w:color w:val="0F4761" w:themeColor="accent1" w:themeShade="BF"/>
    </w:rPr>
  </w:style>
  <w:style w:type="character" w:styleId="IntenseReference">
    <w:name w:val="Intense Reference"/>
    <w:basedOn w:val="DefaultParagraphFont"/>
    <w:uiPriority w:val="32"/>
    <w:qFormat/>
    <w:rsid w:val="00502819"/>
    <w:rPr>
      <w:b/>
      <w:bCs/>
      <w:smallCaps/>
      <w:color w:val="0F4761" w:themeColor="accent1" w:themeShade="BF"/>
      <w:spacing w:val="5"/>
    </w:rPr>
  </w:style>
  <w:style w:type="paragraph" w:styleId="Header">
    <w:name w:val="header"/>
    <w:basedOn w:val="Normal"/>
    <w:link w:val="HeaderChar"/>
    <w:uiPriority w:val="99"/>
    <w:unhideWhenUsed/>
    <w:rsid w:val="00A45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EC2"/>
  </w:style>
  <w:style w:type="paragraph" w:styleId="Footer">
    <w:name w:val="footer"/>
    <w:basedOn w:val="Normal"/>
    <w:link w:val="FooterChar"/>
    <w:uiPriority w:val="99"/>
    <w:unhideWhenUsed/>
    <w:rsid w:val="00A45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EC2"/>
  </w:style>
  <w:style w:type="character" w:styleId="PlaceholderText">
    <w:name w:val="Placeholder Text"/>
    <w:basedOn w:val="DefaultParagraphFont"/>
    <w:uiPriority w:val="99"/>
    <w:semiHidden/>
    <w:rsid w:val="00232A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362</Words>
  <Characters>2030</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Xuange Liang</dc:creator>
  <cp:keywords/>
  <dc:description/>
  <cp:lastModifiedBy>Xuange Liang</cp:lastModifiedBy>
  <cp:revision>47</cp:revision>
  <dcterms:created xsi:type="dcterms:W3CDTF">2025-09-24T18:37:00Z</dcterms:created>
  <dcterms:modified xsi:type="dcterms:W3CDTF">2025-10-02T00:20:00Z</dcterms:modified>
</cp:coreProperties>
</file>