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77FDE" w14:textId="20C080DE" w:rsidR="008473D3" w:rsidRPr="005A7D3F" w:rsidRDefault="00A45EC2" w:rsidP="00A45EC2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5A7D3F">
        <w:rPr>
          <w:rFonts w:ascii="Times New Roman" w:hAnsi="Times New Roman" w:cs="Times New Roman"/>
          <w:b/>
          <w:bCs/>
          <w:sz w:val="32"/>
          <w:szCs w:val="36"/>
        </w:rPr>
        <w:t>Applied Regression II,</w:t>
      </w:r>
      <w:r w:rsidR="00DD3244" w:rsidRPr="005A7D3F">
        <w:rPr>
          <w:rFonts w:ascii="Times New Roman" w:hAnsi="Times New Roman" w:cs="Times New Roman"/>
          <w:b/>
          <w:bCs/>
          <w:sz w:val="32"/>
          <w:szCs w:val="36"/>
        </w:rPr>
        <w:tab/>
      </w:r>
      <w:r w:rsidRPr="005A7D3F">
        <w:rPr>
          <w:rFonts w:ascii="Times New Roman" w:hAnsi="Times New Roman" w:cs="Times New Roman"/>
          <w:b/>
          <w:bCs/>
          <w:sz w:val="32"/>
          <w:szCs w:val="36"/>
        </w:rPr>
        <w:t xml:space="preserve">Homework </w:t>
      </w:r>
      <w:r w:rsidR="009A7DCB" w:rsidRPr="005A7D3F">
        <w:rPr>
          <w:rFonts w:ascii="Times New Roman" w:hAnsi="Times New Roman" w:cs="Times New Roman"/>
          <w:b/>
          <w:bCs/>
          <w:sz w:val="32"/>
          <w:szCs w:val="36"/>
        </w:rPr>
        <w:t>4</w:t>
      </w:r>
    </w:p>
    <w:p w14:paraId="15E38410" w14:textId="57E7756B" w:rsidR="009A7DCB" w:rsidRPr="005A7D3F" w:rsidRDefault="00EA5E8D" w:rsidP="00EA5E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5A7D3F">
        <w:rPr>
          <w:rFonts w:ascii="Times New Roman" w:hAnsi="Times New Roman" w:cs="Times New Roman"/>
          <w:b/>
          <w:bCs/>
          <w:sz w:val="24"/>
          <w:szCs w:val="28"/>
        </w:rPr>
        <w:t>Three Statistical Analysis Topics:</w:t>
      </w:r>
    </w:p>
    <w:p w14:paraId="18F5FB97" w14:textId="0F15A773" w:rsidR="00C81090" w:rsidRPr="00C81090" w:rsidRDefault="00C81090" w:rsidP="00C81090">
      <w:pPr>
        <w:pStyle w:val="ListParagraph"/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C81090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1. Kaplan-Meier Survival Curves:</w:t>
      </w:r>
      <w:r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</w:t>
      </w:r>
      <w:r w:rsidR="00685508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“</w:t>
      </w:r>
      <w:r w:rsidRPr="00C81090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At 10 years, the rate of survival among patients with any grade of prostate cancer was 79.3% in the finasteride group and 79.5% in the placebo group. When men were classified according to cancer grade, the 10-year survival rates were 83.0% in the finasteride group and 80.9% in the placebo group among those with low-grade prostate cancer and 73.0% and 73.6%, respectively, among those with high-grade prostate cancer.</w:t>
      </w:r>
      <w:r w:rsidR="00685508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”</w:t>
      </w:r>
    </w:p>
    <w:p w14:paraId="2D624ADB" w14:textId="443EDC34" w:rsidR="00C81090" w:rsidRPr="00C81090" w:rsidRDefault="00C81090" w:rsidP="00C81090">
      <w:pPr>
        <w:ind w:left="660" w:firstLine="60"/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C81090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2. Cox Proportional Hazards Model:</w:t>
      </w:r>
      <w:r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</w:t>
      </w:r>
      <w:r w:rsidR="00685508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“</w:t>
      </w:r>
      <w:r w:rsidR="0097443A" w:rsidRPr="0097443A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A Cox model was used to estimate hazard ratios for death associated with the two treatments, after adjustment for risk factors.</w:t>
      </w:r>
      <w:r w:rsidRPr="00C81090">
        <w:rPr>
          <w:rFonts w:ascii="Times New Roman" w:hAnsi="Times New Roman" w:cs="Times New Roman"/>
          <w:color w:val="215E99" w:themeColor="text2" w:themeTint="BF"/>
          <w:sz w:val="24"/>
          <w:szCs w:val="28"/>
        </w:rPr>
        <w:t xml:space="preserve"> The covariates that were included in the model for overall survival were the age at study entry as a continuous variable, race (black vs. nonblack), and a time-dependent variable for the diagnosis of prostate cancer.</w:t>
      </w:r>
      <w:r w:rsidR="00685508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”</w:t>
      </w:r>
    </w:p>
    <w:p w14:paraId="57D094BD" w14:textId="59EAEAD0" w:rsidR="00685508" w:rsidRPr="00685508" w:rsidRDefault="00C81090" w:rsidP="00685508">
      <w:pPr>
        <w:ind w:left="660"/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AD6832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3. Hazard Ratios:</w:t>
      </w:r>
      <w:r w:rsidR="00AD6832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</w:t>
      </w:r>
      <w:r w:rsidR="00427FB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“</w:t>
      </w:r>
      <w:r w:rsidR="00427FB5" w:rsidRPr="00427FB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Hazard ratios are for the finasteride group as compared with the placebo group, unless otherwise indicated. A hazard ratio of less than 1 indicates a reduced risk of death.</w:t>
      </w:r>
      <w:r w:rsidR="00427FB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 xml:space="preserve">”, </w:t>
      </w:r>
      <w:r w:rsidR="00685508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“</w:t>
      </w:r>
      <w:r w:rsidR="00234F21" w:rsidRPr="00234F21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The unadjusted hazard ratio for death in the finasteride group was 1.02 (95% CI, 0.97 to 1.08; P = 0.46); after adjustment for age, race, and a diagnosis of prostate cancer, the hazard ratio was 1.03 (95% CI, 0.98 to 1.09; P = 0.26).</w:t>
      </w:r>
      <w:r w:rsidR="00685508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”</w:t>
      </w:r>
      <w:r w:rsidR="00234F21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, etc.</w:t>
      </w:r>
    </w:p>
    <w:p w14:paraId="276479E9" w14:textId="5825D6A4" w:rsidR="00EA5E8D" w:rsidRPr="005A7D3F" w:rsidRDefault="00EA5E8D" w:rsidP="005A7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8"/>
        </w:rPr>
      </w:pPr>
      <w:r w:rsidRPr="005A7D3F">
        <w:rPr>
          <w:rFonts w:ascii="Times New Roman" w:hAnsi="Times New Roman" w:cs="Times New Roman"/>
          <w:b/>
          <w:bCs/>
          <w:sz w:val="24"/>
          <w:szCs w:val="28"/>
        </w:rPr>
        <w:t>Co</w:t>
      </w:r>
      <w:r w:rsidR="0011059F" w:rsidRPr="005A7D3F">
        <w:rPr>
          <w:rFonts w:ascii="Times New Roman" w:hAnsi="Times New Roman" w:cs="Times New Roman"/>
          <w:b/>
          <w:bCs/>
          <w:sz w:val="24"/>
          <w:szCs w:val="28"/>
        </w:rPr>
        <w:t>mments on their Descriptions:</w:t>
      </w:r>
    </w:p>
    <w:p w14:paraId="4BCDB0E6" w14:textId="715ECAC0" w:rsidR="0044617F" w:rsidRPr="0044617F" w:rsidRDefault="0044617F" w:rsidP="00811FD8">
      <w:pPr>
        <w:ind w:left="420"/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44617F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1. Kaplan-Meier Survival Curves:</w:t>
      </w:r>
      <w:r w:rsidR="00811FD8">
        <w:rPr>
          <w:rFonts w:ascii="Times New Roman" w:hAnsi="Times New Roman" w:cs="Times New Roman"/>
          <w:color w:val="215E99" w:themeColor="text2" w:themeTint="BF"/>
          <w:sz w:val="24"/>
          <w:szCs w:val="28"/>
        </w:rPr>
        <w:t xml:space="preserve"> </w:t>
      </w:r>
      <w:r w:rsidRPr="0044617F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The description is partially sufficient. While it provides point estimates for survival rates at 10 years, it could be improved by:</w:t>
      </w:r>
    </w:p>
    <w:p w14:paraId="2D084E22" w14:textId="77777777" w:rsidR="0044617F" w:rsidRPr="005A7D3F" w:rsidRDefault="0044617F" w:rsidP="005A7D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5A7D3F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Including 95% confidence intervals for all survival rate estimates</w:t>
      </w:r>
    </w:p>
    <w:p w14:paraId="32AA3B61" w14:textId="2D1A063D" w:rsidR="0044617F" w:rsidRPr="005A7D3F" w:rsidRDefault="0044617F" w:rsidP="005A7D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5A7D3F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Mentioning the number at risk at different time points</w:t>
      </w:r>
      <w:r w:rsidR="004F3143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(maybe using a table)</w:t>
      </w:r>
    </w:p>
    <w:p w14:paraId="7D59AD0A" w14:textId="0EB1E5B0" w:rsidR="0044617F" w:rsidRPr="005A7D3F" w:rsidRDefault="0044617F" w:rsidP="005A7D3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5A7D3F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Describing how</w:t>
      </w:r>
      <w:r w:rsidR="001B71AD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</w:t>
      </w:r>
      <w:r w:rsidRPr="005A7D3F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censoring were handled</w:t>
      </w:r>
    </w:p>
    <w:p w14:paraId="7806F54F" w14:textId="606CD5EC" w:rsidR="0044617F" w:rsidRPr="0044617F" w:rsidRDefault="0044617F" w:rsidP="00811FD8">
      <w:pPr>
        <w:ind w:left="420"/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44617F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2. Cox Proportional Hazards Model:</w:t>
      </w:r>
      <w:r w:rsidR="00811FD8">
        <w:rPr>
          <w:rFonts w:ascii="Times New Roman" w:hAnsi="Times New Roman" w:cs="Times New Roman"/>
          <w:color w:val="215E99" w:themeColor="text2" w:themeTint="BF"/>
          <w:sz w:val="24"/>
          <w:szCs w:val="28"/>
        </w:rPr>
        <w:t xml:space="preserve"> </w:t>
      </w:r>
      <w:r w:rsidRPr="0044617F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The description needs improvement. While it lists the covariates, it lacks:</w:t>
      </w:r>
    </w:p>
    <w:p w14:paraId="4DC970AB" w14:textId="77777777" w:rsidR="0044617F" w:rsidRPr="005A7D3F" w:rsidRDefault="0044617F" w:rsidP="005A7D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5A7D3F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Details on how the time-dependent covariate was implemented</w:t>
      </w:r>
    </w:p>
    <w:p w14:paraId="43F42B62" w14:textId="2E838571" w:rsidR="0044617F" w:rsidRDefault="0044617F" w:rsidP="005A7D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5A7D3F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Information about model diagnostics or goodness-of-fit</w:t>
      </w:r>
      <w:r w:rsidR="004F3143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(for example, log-rank test)</w:t>
      </w:r>
    </w:p>
    <w:p w14:paraId="4764E079" w14:textId="7DE99369" w:rsidR="00A86D18" w:rsidRPr="005A7D3F" w:rsidRDefault="00A86D18" w:rsidP="005A7D3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>
        <w:rPr>
          <w:rFonts w:ascii="Times New Roman" w:hAnsi="Times New Roman" w:cs="Times New Roman"/>
          <w:color w:val="215E99" w:themeColor="text2" w:themeTint="BF"/>
          <w:sz w:val="24"/>
          <w:szCs w:val="28"/>
        </w:rPr>
        <w:t>D</w:t>
      </w:r>
      <w:r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oes not mention the proportional-hazards assumption test result</w:t>
      </w:r>
    </w:p>
    <w:p w14:paraId="1F3C868C" w14:textId="1F035FE0" w:rsidR="0044617F" w:rsidRPr="0044617F" w:rsidRDefault="0044617F" w:rsidP="00811FD8">
      <w:pPr>
        <w:ind w:left="420"/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44617F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3. Hazard Ratios:</w:t>
      </w:r>
      <w:r w:rsidR="00811FD8">
        <w:rPr>
          <w:rFonts w:ascii="Times New Roman" w:hAnsi="Times New Roman" w:cs="Times New Roman"/>
          <w:color w:val="215E99" w:themeColor="text2" w:themeTint="BF"/>
          <w:sz w:val="24"/>
          <w:szCs w:val="28"/>
        </w:rPr>
        <w:t xml:space="preserve"> </w:t>
      </w:r>
      <w:r w:rsidRPr="0044617F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The description is quite sufficient as it provides both unadjusted and adjusted hazard ratios with 95% CIs and p-values. However, it could be enhanced by:</w:t>
      </w:r>
    </w:p>
    <w:p w14:paraId="281B4435" w14:textId="31DB2CE5" w:rsidR="0044617F" w:rsidRPr="005A7D3F" w:rsidRDefault="0044617F" w:rsidP="005A7D3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5A7D3F">
        <w:rPr>
          <w:rFonts w:ascii="Times New Roman" w:hAnsi="Times New Roman" w:cs="Times New Roman"/>
          <w:color w:val="215E99" w:themeColor="text2" w:themeTint="BF"/>
          <w:sz w:val="24"/>
          <w:szCs w:val="28"/>
        </w:rPr>
        <w:lastRenderedPageBreak/>
        <w:t>Clarifying the interpretation (e.g., "a hazard ratio of 1.02 indicates a 2% increased risk of death")</w:t>
      </w:r>
      <w:r w:rsidR="00AD1610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in the text</w:t>
      </w:r>
    </w:p>
    <w:p w14:paraId="0572D5DA" w14:textId="734338B4" w:rsidR="0011059F" w:rsidRPr="005A7D3F" w:rsidRDefault="0044617F" w:rsidP="005A7D3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5A7D3F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Providing hazard ratios for other covariates in the model to show their relative importance</w:t>
      </w:r>
      <w:r w:rsidR="00AD1610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in the main text part</w:t>
      </w:r>
    </w:p>
    <w:p w14:paraId="6712AD65" w14:textId="21A18EF3" w:rsidR="00F33905" w:rsidRPr="009A7DCB" w:rsidRDefault="00F33905" w:rsidP="009A7DCB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</w:p>
    <w:sectPr w:rsidR="00F33905" w:rsidRPr="009A7DCB">
      <w:headerReference w:type="default" r:id="rId7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9F9B3" w14:textId="77777777" w:rsidR="00306519" w:rsidRDefault="00306519" w:rsidP="00A45EC2">
      <w:pPr>
        <w:spacing w:after="0" w:line="240" w:lineRule="auto"/>
      </w:pPr>
      <w:r>
        <w:separator/>
      </w:r>
    </w:p>
  </w:endnote>
  <w:endnote w:type="continuationSeparator" w:id="0">
    <w:p w14:paraId="3EFD4125" w14:textId="77777777" w:rsidR="00306519" w:rsidRDefault="00306519" w:rsidP="00A45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08CB1" w14:textId="77777777" w:rsidR="00306519" w:rsidRDefault="00306519" w:rsidP="00A45EC2">
      <w:pPr>
        <w:spacing w:after="0" w:line="240" w:lineRule="auto"/>
      </w:pPr>
      <w:r>
        <w:separator/>
      </w:r>
    </w:p>
  </w:footnote>
  <w:footnote w:type="continuationSeparator" w:id="0">
    <w:p w14:paraId="64AB0C0F" w14:textId="77777777" w:rsidR="00306519" w:rsidRDefault="00306519" w:rsidP="00A45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A7B4B" w14:textId="2D706978" w:rsidR="00A45EC2" w:rsidRPr="001327DF" w:rsidRDefault="00A45EC2">
    <w:pPr>
      <w:pStyle w:val="Header"/>
      <w:rPr>
        <w:rFonts w:ascii="Times New Roman" w:hAnsi="Times New Roman" w:cs="Times New Roman"/>
        <w:b/>
        <w:bCs/>
      </w:rPr>
    </w:pPr>
    <w:r w:rsidRPr="001327DF">
      <w:rPr>
        <w:rFonts w:ascii="Times New Roman" w:hAnsi="Times New Roman" w:cs="Times New Roman"/>
        <w:b/>
        <w:bCs/>
      </w:rPr>
      <w:t>Xuange Liang</w:t>
    </w:r>
  </w:p>
  <w:p w14:paraId="0B5FDE5F" w14:textId="5276F207" w:rsidR="00A45EC2" w:rsidRPr="001327DF" w:rsidRDefault="00A45EC2">
    <w:pPr>
      <w:pStyle w:val="Header"/>
      <w:rPr>
        <w:rFonts w:ascii="Times New Roman" w:hAnsi="Times New Roman" w:cs="Times New Roman"/>
        <w:b/>
        <w:bCs/>
      </w:rPr>
    </w:pPr>
    <w:r w:rsidRPr="001327DF">
      <w:rPr>
        <w:rFonts w:ascii="Times New Roman" w:hAnsi="Times New Roman" w:cs="Times New Roman"/>
        <w:b/>
        <w:bCs/>
      </w:rPr>
      <w:t>xl3493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E75D9"/>
    <w:multiLevelType w:val="hybridMultilevel"/>
    <w:tmpl w:val="B6DEFAF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2C4636BD"/>
    <w:multiLevelType w:val="hybridMultilevel"/>
    <w:tmpl w:val="1980C542"/>
    <w:lvl w:ilvl="0" w:tplc="0BD2D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340CDF"/>
    <w:multiLevelType w:val="hybridMultilevel"/>
    <w:tmpl w:val="5BE603EE"/>
    <w:lvl w:ilvl="0" w:tplc="1D7693B2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036B2"/>
    <w:multiLevelType w:val="hybridMultilevel"/>
    <w:tmpl w:val="FEC8FEBC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4BCC161C"/>
    <w:multiLevelType w:val="hybridMultilevel"/>
    <w:tmpl w:val="FF68C404"/>
    <w:lvl w:ilvl="0" w:tplc="1D7693B2">
      <w:start w:val="1"/>
      <w:numFmt w:val="lowerLetter"/>
      <w:lvlText w:val="(%1)"/>
      <w:lvlJc w:val="left"/>
      <w:pPr>
        <w:ind w:left="7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541A32E8"/>
    <w:multiLevelType w:val="hybridMultilevel"/>
    <w:tmpl w:val="69206C02"/>
    <w:lvl w:ilvl="0" w:tplc="D9B0F0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F53E9E"/>
    <w:multiLevelType w:val="hybridMultilevel"/>
    <w:tmpl w:val="FD7C413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69023884"/>
    <w:multiLevelType w:val="hybridMultilevel"/>
    <w:tmpl w:val="A486162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28403784">
    <w:abstractNumId w:val="2"/>
  </w:num>
  <w:num w:numId="2" w16cid:durableId="75052775">
    <w:abstractNumId w:val="1"/>
  </w:num>
  <w:num w:numId="3" w16cid:durableId="197863375">
    <w:abstractNumId w:val="5"/>
  </w:num>
  <w:num w:numId="4" w16cid:durableId="608777023">
    <w:abstractNumId w:val="3"/>
  </w:num>
  <w:num w:numId="5" w16cid:durableId="124735735">
    <w:abstractNumId w:val="4"/>
  </w:num>
  <w:num w:numId="6" w16cid:durableId="1717003130">
    <w:abstractNumId w:val="0"/>
  </w:num>
  <w:num w:numId="7" w16cid:durableId="2055734778">
    <w:abstractNumId w:val="7"/>
  </w:num>
  <w:num w:numId="8" w16cid:durableId="17821466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19"/>
    <w:rsid w:val="000101F7"/>
    <w:rsid w:val="00042CF6"/>
    <w:rsid w:val="00044309"/>
    <w:rsid w:val="00061FBE"/>
    <w:rsid w:val="000F4FFE"/>
    <w:rsid w:val="0011059F"/>
    <w:rsid w:val="001159C6"/>
    <w:rsid w:val="001327DF"/>
    <w:rsid w:val="001976FD"/>
    <w:rsid w:val="001B71AD"/>
    <w:rsid w:val="001D186C"/>
    <w:rsid w:val="001E0AAE"/>
    <w:rsid w:val="001E281F"/>
    <w:rsid w:val="0020135F"/>
    <w:rsid w:val="00221252"/>
    <w:rsid w:val="00232A10"/>
    <w:rsid w:val="00234F21"/>
    <w:rsid w:val="00306519"/>
    <w:rsid w:val="00333141"/>
    <w:rsid w:val="003675F4"/>
    <w:rsid w:val="00370E65"/>
    <w:rsid w:val="003F22E5"/>
    <w:rsid w:val="00427FB5"/>
    <w:rsid w:val="0044617F"/>
    <w:rsid w:val="00446828"/>
    <w:rsid w:val="00457C16"/>
    <w:rsid w:val="004F3143"/>
    <w:rsid w:val="00502819"/>
    <w:rsid w:val="00561760"/>
    <w:rsid w:val="005A7D3F"/>
    <w:rsid w:val="00644330"/>
    <w:rsid w:val="00685508"/>
    <w:rsid w:val="00734935"/>
    <w:rsid w:val="007E52CC"/>
    <w:rsid w:val="008070A5"/>
    <w:rsid w:val="00811FD8"/>
    <w:rsid w:val="008473D3"/>
    <w:rsid w:val="00854EE5"/>
    <w:rsid w:val="0086466B"/>
    <w:rsid w:val="00893CB1"/>
    <w:rsid w:val="008B30EE"/>
    <w:rsid w:val="00921DF1"/>
    <w:rsid w:val="00934F7D"/>
    <w:rsid w:val="00935D6A"/>
    <w:rsid w:val="00941889"/>
    <w:rsid w:val="00967F6E"/>
    <w:rsid w:val="0097443A"/>
    <w:rsid w:val="009A7DCB"/>
    <w:rsid w:val="009D39D8"/>
    <w:rsid w:val="00A22C53"/>
    <w:rsid w:val="00A45EC2"/>
    <w:rsid w:val="00A77417"/>
    <w:rsid w:val="00A86D18"/>
    <w:rsid w:val="00A9150A"/>
    <w:rsid w:val="00AD1610"/>
    <w:rsid w:val="00AD6832"/>
    <w:rsid w:val="00B320ED"/>
    <w:rsid w:val="00BD380E"/>
    <w:rsid w:val="00C81090"/>
    <w:rsid w:val="00CB54F9"/>
    <w:rsid w:val="00CC7D12"/>
    <w:rsid w:val="00DA05E6"/>
    <w:rsid w:val="00DD3244"/>
    <w:rsid w:val="00E313AF"/>
    <w:rsid w:val="00E416AC"/>
    <w:rsid w:val="00E83681"/>
    <w:rsid w:val="00E85291"/>
    <w:rsid w:val="00EA5E8D"/>
    <w:rsid w:val="00EB5708"/>
    <w:rsid w:val="00F33905"/>
    <w:rsid w:val="00F7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5B5F"/>
  <w15:chartTrackingRefBased/>
  <w15:docId w15:val="{7A3AC395-BDCA-40D8-AAEF-5EB55BA5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291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2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8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5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EC2"/>
  </w:style>
  <w:style w:type="paragraph" w:styleId="Footer">
    <w:name w:val="footer"/>
    <w:basedOn w:val="Normal"/>
    <w:link w:val="FooterChar"/>
    <w:uiPriority w:val="99"/>
    <w:unhideWhenUsed/>
    <w:rsid w:val="00A45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EC2"/>
  </w:style>
  <w:style w:type="character" w:styleId="PlaceholderText">
    <w:name w:val="Placeholder Text"/>
    <w:basedOn w:val="DefaultParagraphFont"/>
    <w:uiPriority w:val="99"/>
    <w:semiHidden/>
    <w:rsid w:val="00232A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370</Words>
  <Characters>2072</Characters>
  <Application>Microsoft Office Word</Application>
  <DocSecurity>0</DocSecurity>
  <Lines>39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Xuange Liang</dc:creator>
  <cp:keywords/>
  <dc:description/>
  <cp:lastModifiedBy>Xuange Liang</cp:lastModifiedBy>
  <cp:revision>61</cp:revision>
  <dcterms:created xsi:type="dcterms:W3CDTF">2025-09-24T18:37:00Z</dcterms:created>
  <dcterms:modified xsi:type="dcterms:W3CDTF">2025-10-02T00:53:00Z</dcterms:modified>
</cp:coreProperties>
</file>