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3 Tarea Grupal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Grupo 1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Integrantes: Ignacio Armijo, Nícolas Díaz, Andrea Venegas.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Desarrollo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continuación, se presentan las imágenes en detalle, paso a paso de la creación y activación del ambiente virtual de trabajo.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la consola, </w:t>
      </w:r>
      <w:r w:rsidDel="00000000" w:rsidR="00000000" w:rsidRPr="00000000">
        <w:rPr>
          <w:rtl w:val="0"/>
        </w:rPr>
        <w:t xml:space="preserve">posicionarnos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 la</w:t>
      </w:r>
      <w:r w:rsidDel="00000000" w:rsidR="00000000" w:rsidRPr="00000000">
        <w:rPr>
          <w:rtl w:val="0"/>
        </w:rPr>
        <w:t xml:space="preserve"> carpeta destino la cual es: “D:\nicol\bootcampfullstackpython\Modulo3\actividadgrupal1.1.nicolasdiazgonzalez”.</w:t>
      </w:r>
    </w:p>
    <w:p w:rsidR="00000000" w:rsidDel="00000000" w:rsidP="00000000" w:rsidRDefault="00000000" w:rsidRPr="00000000" w14:paraId="0000000B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8813" cy="220210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202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left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fig 1. 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Posicionamiento en carpeta de destino.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Ingreso de código “py -m venv env”para crear el entorno virtual en la carpeta destino.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fig 2. Creación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 del entorno virtual</w:t>
      </w:r>
      <w:r w:rsidDel="00000000" w:rsidR="00000000" w:rsidRPr="00000000">
        <w:rPr>
          <w:b w:val="1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Ingreso de código “.\env\Scripts\activate.bat ”para activar el entorno virtual.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fig 3. Activación de ambiente virtual.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Comprobación </w:t>
      </w:r>
      <w:r w:rsidDel="00000000" w:rsidR="00000000" w:rsidRPr="00000000">
        <w:rPr>
          <w:rtl w:val="0"/>
        </w:rPr>
        <w:t xml:space="preserve">que activación</w:t>
      </w:r>
      <w:r w:rsidDel="00000000" w:rsidR="00000000" w:rsidRPr="00000000">
        <w:rPr>
          <w:rtl w:val="0"/>
        </w:rPr>
        <w:t xml:space="preserve"> fue exitosa.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fig 4. Activación exitosa, visualización de (env) λ.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Las ventajas del uso de un ambiente virtual son: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Permite aislar las dependencias Python, u otros lenguajes, del proyecto en sí mismo.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Evita posibles conflictos con versiones con otros proyectos Python, u otros proyectos.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Facilita compartir el proyecto entre otros programadores con misma versión de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paquetes.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Permite replicar exactamente el entorno entre equipos de desarrollo.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