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1F6B" w14:textId="77777777" w:rsidR="00664B19" w:rsidRDefault="00000000">
      <w:pPr>
        <w:pStyle w:val="Heading2"/>
        <w:jc w:val="center"/>
      </w:pPr>
      <w:bookmarkStart w:id="0" w:name="_7nlk2ynsm6vx" w:colFirst="0" w:colLast="0"/>
      <w:bookmarkEnd w:id="0"/>
      <w:r>
        <w:rPr>
          <w:rFonts w:ascii="Google Sans" w:eastAsia="Google Sans" w:hAnsi="Google Sans" w:cs="Google Sans"/>
        </w:rPr>
        <w:t>PASTA worksheet</w:t>
      </w:r>
    </w:p>
    <w:p w14:paraId="6D560E1B" w14:textId="77777777" w:rsidR="00664B19" w:rsidRDefault="00000000">
      <w:r>
        <w:pict w14:anchorId="551B7D46">
          <v:rect id="_x0000_i1025" style="width:0;height:1.5pt" o:hralign="center" o:hrstd="t" o:hr="t" fillcolor="#a0a0a0" stroked="f"/>
        </w:pict>
      </w:r>
    </w:p>
    <w:p w14:paraId="19681188" w14:textId="77777777" w:rsidR="00664B19" w:rsidRDefault="00664B19"/>
    <w:p w14:paraId="48755237" w14:textId="77777777" w:rsidR="00664B19" w:rsidRDefault="00664B1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664B19" w14:paraId="10326138" w14:textId="77777777">
        <w:tc>
          <w:tcPr>
            <w:tcW w:w="2580" w:type="dxa"/>
            <w:shd w:val="clear" w:color="auto" w:fill="auto"/>
            <w:tcMar>
              <w:top w:w="100" w:type="dxa"/>
              <w:left w:w="100" w:type="dxa"/>
              <w:bottom w:w="100" w:type="dxa"/>
              <w:right w:w="100" w:type="dxa"/>
            </w:tcMar>
            <w:vAlign w:val="center"/>
          </w:tcPr>
          <w:p w14:paraId="57DFF094" w14:textId="77777777" w:rsidR="00664B19" w:rsidRDefault="00000000">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451D4D7C" w14:textId="77777777" w:rsidR="00664B19" w:rsidRDefault="00000000">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664B19" w14:paraId="47DFCFAB" w14:textId="77777777">
        <w:tc>
          <w:tcPr>
            <w:tcW w:w="2580" w:type="dxa"/>
            <w:shd w:val="clear" w:color="auto" w:fill="auto"/>
            <w:tcMar>
              <w:top w:w="100" w:type="dxa"/>
              <w:left w:w="100" w:type="dxa"/>
              <w:bottom w:w="100" w:type="dxa"/>
              <w:right w:w="100" w:type="dxa"/>
            </w:tcMar>
          </w:tcPr>
          <w:p w14:paraId="77C86CA5" w14:textId="77777777" w:rsidR="00664B1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5EFCE4D5" w14:textId="77777777" w:rsidR="00664B19" w:rsidRDefault="00000000">
            <w:pPr>
              <w:widowControl w:val="0"/>
              <w:spacing w:line="240" w:lineRule="auto"/>
              <w:rPr>
                <w:rFonts w:ascii="Google Sans" w:eastAsia="Google Sans" w:hAnsi="Google Sans" w:cs="Google Sans"/>
              </w:rPr>
            </w:pPr>
            <w:r>
              <w:rPr>
                <w:rFonts w:ascii="Google Sans" w:eastAsia="Google Sans" w:hAnsi="Google Sans" w:cs="Google Sans"/>
              </w:rPr>
              <w:t>Make 2-3 notes of specific business requirements that will be analyzed.</w:t>
            </w:r>
          </w:p>
          <w:p w14:paraId="26E3B8FD" w14:textId="77777777" w:rsidR="00664B19"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Users can create member profiles internally or by connecting external accounts.</w:t>
            </w:r>
          </w:p>
          <w:p w14:paraId="093C942F" w14:textId="77777777" w:rsidR="00664B19"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The app must process financial transactions.</w:t>
            </w:r>
          </w:p>
          <w:p w14:paraId="740D937B" w14:textId="77777777" w:rsidR="00664B19"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 xml:space="preserve">The app should </w:t>
            </w:r>
            <w:proofErr w:type="gramStart"/>
            <w:r>
              <w:rPr>
                <w:rFonts w:ascii="Google Sans" w:eastAsia="Google Sans" w:hAnsi="Google Sans" w:cs="Google Sans"/>
                <w:i/>
              </w:rPr>
              <w:t>be in compliance with</w:t>
            </w:r>
            <w:proofErr w:type="gramEnd"/>
            <w:r>
              <w:rPr>
                <w:rFonts w:ascii="Google Sans" w:eastAsia="Google Sans" w:hAnsi="Google Sans" w:cs="Google Sans"/>
                <w:i/>
              </w:rPr>
              <w:t xml:space="preserve"> PCI-DSS.</w:t>
            </w:r>
          </w:p>
        </w:tc>
      </w:tr>
      <w:tr w:rsidR="00664B19" w14:paraId="04868218" w14:textId="77777777">
        <w:tc>
          <w:tcPr>
            <w:tcW w:w="2580" w:type="dxa"/>
            <w:shd w:val="clear" w:color="auto" w:fill="auto"/>
            <w:tcMar>
              <w:top w:w="100" w:type="dxa"/>
              <w:left w:w="100" w:type="dxa"/>
              <w:bottom w:w="100" w:type="dxa"/>
              <w:right w:w="100" w:type="dxa"/>
            </w:tcMar>
          </w:tcPr>
          <w:p w14:paraId="702EA1DE" w14:textId="77777777" w:rsidR="00664B1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4804BE2E" w14:textId="77777777" w:rsidR="00664B19" w:rsidRDefault="00000000">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14:paraId="7900C05A" w14:textId="77777777" w:rsidR="00664B19"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Application programming interface (API)</w:t>
            </w:r>
          </w:p>
          <w:p w14:paraId="2CE02E23" w14:textId="77777777" w:rsidR="00664B19"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Public key infrastructure (PKI)</w:t>
            </w:r>
          </w:p>
          <w:p w14:paraId="2F56CEDB" w14:textId="77777777" w:rsidR="00664B19"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Advanced encryption system (AES)</w:t>
            </w:r>
          </w:p>
          <w:p w14:paraId="304A6EBE" w14:textId="77777777" w:rsidR="00664B19"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14:paraId="328737EE" w14:textId="77777777" w:rsidR="00664B19"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14:paraId="08797530" w14:textId="77777777" w:rsidR="00664B19" w:rsidRDefault="00664B19">
            <w:pPr>
              <w:widowControl w:val="0"/>
              <w:spacing w:line="240" w:lineRule="auto"/>
              <w:rPr>
                <w:rFonts w:ascii="Google Sans" w:eastAsia="Google Sans" w:hAnsi="Google Sans" w:cs="Google Sans"/>
                <w:i/>
              </w:rPr>
            </w:pPr>
          </w:p>
          <w:p w14:paraId="3691701B" w14:textId="77777777" w:rsidR="00664B19" w:rsidRDefault="00000000">
            <w:pPr>
              <w:widowControl w:val="0"/>
              <w:spacing w:line="240" w:lineRule="auto"/>
              <w:rPr>
                <w:rFonts w:ascii="Google Sans" w:eastAsia="Google Sans" w:hAnsi="Google Sans" w:cs="Google Sans"/>
                <w:i/>
              </w:rPr>
            </w:pPr>
            <w:r>
              <w:rPr>
                <w:rFonts w:ascii="Google Sans" w:eastAsia="Google Sans" w:hAnsi="Google Sans" w:cs="Google Sans"/>
                <w:i/>
              </w:rPr>
              <w:t>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tc>
      </w:tr>
      <w:tr w:rsidR="00664B19" w14:paraId="54BC12EB" w14:textId="77777777">
        <w:tc>
          <w:tcPr>
            <w:tcW w:w="2580" w:type="dxa"/>
            <w:shd w:val="clear" w:color="auto" w:fill="auto"/>
            <w:tcMar>
              <w:top w:w="100" w:type="dxa"/>
              <w:left w:w="100" w:type="dxa"/>
              <w:bottom w:w="100" w:type="dxa"/>
              <w:right w:w="100" w:type="dxa"/>
            </w:tcMar>
          </w:tcPr>
          <w:p w14:paraId="373994BB" w14:textId="77777777" w:rsidR="00664B1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370BA4BF" w14:textId="793091E0" w:rsidR="00664B19" w:rsidRPr="001D2AF5" w:rsidRDefault="00000000">
            <w:pPr>
              <w:widowControl w:val="0"/>
              <w:spacing w:line="240" w:lineRule="auto"/>
              <w:rPr>
                <w:rFonts w:ascii="Google Sans" w:eastAsia="Google Sans" w:hAnsi="Google Sans" w:cs="Google Sans"/>
              </w:rPr>
            </w:pPr>
            <w:r w:rsidRPr="001D2AF5">
              <w:rPr>
                <w:rFonts w:ascii="Google Sans" w:eastAsia="Google Sans" w:hAnsi="Google Sans" w:cs="Google Sans"/>
              </w:rPr>
              <w:t>Sample data flow diagram</w:t>
            </w:r>
          </w:p>
        </w:tc>
      </w:tr>
      <w:tr w:rsidR="00664B19" w14:paraId="1EF2A898" w14:textId="77777777">
        <w:tc>
          <w:tcPr>
            <w:tcW w:w="2580" w:type="dxa"/>
            <w:shd w:val="clear" w:color="auto" w:fill="auto"/>
            <w:tcMar>
              <w:top w:w="100" w:type="dxa"/>
              <w:left w:w="100" w:type="dxa"/>
              <w:bottom w:w="100" w:type="dxa"/>
              <w:right w:w="100" w:type="dxa"/>
            </w:tcMar>
          </w:tcPr>
          <w:p w14:paraId="4E2EB1EA" w14:textId="77777777" w:rsidR="00664B1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14:paraId="706C311A" w14:textId="77777777" w:rsidR="00664B19"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types of threats</w:t>
            </w:r>
            <w:r>
              <w:rPr>
                <w:rFonts w:ascii="Google Sans" w:eastAsia="Google Sans" w:hAnsi="Google Sans" w:cs="Google Sans"/>
              </w:rPr>
              <w:t xml:space="preserve"> in the PASTA worksheet that are risks to the information being handled by the application.</w:t>
            </w:r>
          </w:p>
          <w:p w14:paraId="01A49D26" w14:textId="77777777" w:rsidR="00664B19" w:rsidRDefault="00000000">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Injection</w:t>
            </w:r>
          </w:p>
          <w:p w14:paraId="232D6118" w14:textId="77777777" w:rsidR="00664B19" w:rsidRDefault="00000000">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Session hijacking</w:t>
            </w:r>
          </w:p>
        </w:tc>
      </w:tr>
      <w:tr w:rsidR="00664B19" w14:paraId="544F2049" w14:textId="77777777">
        <w:tc>
          <w:tcPr>
            <w:tcW w:w="2580" w:type="dxa"/>
            <w:shd w:val="clear" w:color="auto" w:fill="auto"/>
            <w:tcMar>
              <w:top w:w="100" w:type="dxa"/>
              <w:left w:w="100" w:type="dxa"/>
              <w:bottom w:w="100" w:type="dxa"/>
              <w:right w:w="100" w:type="dxa"/>
            </w:tcMar>
          </w:tcPr>
          <w:p w14:paraId="5E3A8A26" w14:textId="77777777" w:rsidR="00664B1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14:paraId="06D2BB79" w14:textId="77777777" w:rsidR="00664B19"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vulnerabilities</w:t>
            </w:r>
            <w:r>
              <w:rPr>
                <w:rFonts w:ascii="Google Sans" w:eastAsia="Google Sans" w:hAnsi="Google Sans" w:cs="Google Sans"/>
              </w:rPr>
              <w:t xml:space="preserve"> in the PASTA worksheet that could be exploited.</w:t>
            </w:r>
          </w:p>
          <w:p w14:paraId="5D6EBCB7" w14:textId="77777777" w:rsidR="00664B19" w:rsidRDefault="00000000">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Lack of prepared statements</w:t>
            </w:r>
          </w:p>
          <w:p w14:paraId="7C4A9550" w14:textId="77777777" w:rsidR="00664B19" w:rsidRDefault="00000000">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Broken API token</w:t>
            </w:r>
          </w:p>
        </w:tc>
      </w:tr>
      <w:tr w:rsidR="00664B19" w14:paraId="23033C56" w14:textId="77777777">
        <w:tc>
          <w:tcPr>
            <w:tcW w:w="2580" w:type="dxa"/>
            <w:shd w:val="clear" w:color="auto" w:fill="auto"/>
            <w:tcMar>
              <w:top w:w="100" w:type="dxa"/>
              <w:left w:w="100" w:type="dxa"/>
              <w:bottom w:w="100" w:type="dxa"/>
              <w:right w:w="100" w:type="dxa"/>
            </w:tcMar>
          </w:tcPr>
          <w:p w14:paraId="7A968508" w14:textId="77777777" w:rsidR="00664B1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 Attack modeling</w:t>
            </w:r>
          </w:p>
        </w:tc>
        <w:tc>
          <w:tcPr>
            <w:tcW w:w="6780" w:type="dxa"/>
            <w:shd w:val="clear" w:color="auto" w:fill="auto"/>
            <w:tcMar>
              <w:top w:w="100" w:type="dxa"/>
              <w:left w:w="100" w:type="dxa"/>
              <w:bottom w:w="100" w:type="dxa"/>
              <w:right w:w="100" w:type="dxa"/>
            </w:tcMar>
          </w:tcPr>
          <w:p w14:paraId="7B7A6F0D" w14:textId="381262E5" w:rsidR="00664B19" w:rsidRPr="001D2AF5" w:rsidRDefault="00000000">
            <w:pPr>
              <w:widowControl w:val="0"/>
              <w:spacing w:line="240" w:lineRule="auto"/>
              <w:rPr>
                <w:rFonts w:ascii="Google Sans" w:eastAsia="Google Sans" w:hAnsi="Google Sans" w:cs="Google Sans"/>
              </w:rPr>
            </w:pPr>
            <w:r w:rsidRPr="001D2AF5">
              <w:rPr>
                <w:rFonts w:ascii="Google Sans" w:eastAsia="Google Sans" w:hAnsi="Google Sans" w:cs="Google Sans"/>
              </w:rPr>
              <w:t>Sample attack tree diagram</w:t>
            </w:r>
          </w:p>
        </w:tc>
      </w:tr>
      <w:tr w:rsidR="00664B19" w14:paraId="26236129" w14:textId="77777777">
        <w:tc>
          <w:tcPr>
            <w:tcW w:w="2580" w:type="dxa"/>
            <w:shd w:val="clear" w:color="auto" w:fill="auto"/>
            <w:tcMar>
              <w:top w:w="100" w:type="dxa"/>
              <w:left w:w="100" w:type="dxa"/>
              <w:bottom w:w="100" w:type="dxa"/>
              <w:right w:w="100" w:type="dxa"/>
            </w:tcMar>
          </w:tcPr>
          <w:p w14:paraId="4E2E7766" w14:textId="77777777" w:rsidR="00664B1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VII. Risk analysis and impact</w:t>
            </w:r>
          </w:p>
        </w:tc>
        <w:tc>
          <w:tcPr>
            <w:tcW w:w="6780" w:type="dxa"/>
            <w:shd w:val="clear" w:color="auto" w:fill="auto"/>
            <w:tcMar>
              <w:top w:w="100" w:type="dxa"/>
              <w:left w:w="100" w:type="dxa"/>
              <w:bottom w:w="100" w:type="dxa"/>
              <w:right w:w="100" w:type="dxa"/>
            </w:tcMar>
          </w:tcPr>
          <w:p w14:paraId="67A75AD2" w14:textId="77777777" w:rsidR="00664B19"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 xml:space="preserve">4 security controls </w:t>
            </w:r>
            <w:r>
              <w:rPr>
                <w:rFonts w:ascii="Google Sans" w:eastAsia="Google Sans" w:hAnsi="Google Sans" w:cs="Google Sans"/>
              </w:rPr>
              <w:t>that can reduce risk.</w:t>
            </w:r>
          </w:p>
          <w:p w14:paraId="1A54112B" w14:textId="77777777" w:rsidR="00664B19" w:rsidRDefault="00000000">
            <w:pPr>
              <w:widowControl w:val="0"/>
              <w:spacing w:line="240" w:lineRule="auto"/>
              <w:rPr>
                <w:rFonts w:ascii="Google Sans" w:eastAsia="Google Sans" w:hAnsi="Google Sans" w:cs="Google Sans"/>
                <w:i/>
              </w:rPr>
            </w:pPr>
            <w:r>
              <w:rPr>
                <w:rFonts w:ascii="Google Sans" w:eastAsia="Google Sans" w:hAnsi="Google Sans" w:cs="Google Sans"/>
                <w:i/>
              </w:rPr>
              <w:t>SHA-256, incident response procedures, password policy, principle of least privilege</w:t>
            </w:r>
          </w:p>
        </w:tc>
      </w:tr>
    </w:tbl>
    <w:p w14:paraId="365320C3" w14:textId="77777777" w:rsidR="00664B19" w:rsidRDefault="00664B19"/>
    <w:p w14:paraId="2E1C9B87" w14:textId="77777777" w:rsidR="00664B19" w:rsidRDefault="00000000">
      <w:r>
        <w:pict w14:anchorId="1AA1DA59">
          <v:rect id="_x0000_i1026" style="width:0;height:1.5pt" o:hralign="center" o:hrstd="t" o:hr="t" fillcolor="#a0a0a0" stroked="f"/>
        </w:pict>
      </w:r>
    </w:p>
    <w:p w14:paraId="1A8756D9" w14:textId="77777777" w:rsidR="00664B19" w:rsidRDefault="00664B19">
      <w:pPr>
        <w:widowControl w:val="0"/>
        <w:spacing w:line="240" w:lineRule="auto"/>
      </w:pPr>
    </w:p>
    <w:sectPr w:rsidR="00664B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16230"/>
    <w:multiLevelType w:val="multilevel"/>
    <w:tmpl w:val="3F421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1E7AE2"/>
    <w:multiLevelType w:val="multilevel"/>
    <w:tmpl w:val="2C540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9A58EF"/>
    <w:multiLevelType w:val="multilevel"/>
    <w:tmpl w:val="0A1E7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5936AD"/>
    <w:multiLevelType w:val="multilevel"/>
    <w:tmpl w:val="8266F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6110349">
    <w:abstractNumId w:val="3"/>
  </w:num>
  <w:num w:numId="2" w16cid:durableId="1355156356">
    <w:abstractNumId w:val="2"/>
  </w:num>
  <w:num w:numId="3" w16cid:durableId="1901742088">
    <w:abstractNumId w:val="1"/>
  </w:num>
  <w:num w:numId="4" w16cid:durableId="162110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B19"/>
    <w:rsid w:val="001D2AF5"/>
    <w:rsid w:val="00664B19"/>
    <w:rsid w:val="00782C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EB82"/>
  <w15:docId w15:val="{C37777EC-30A5-4ABB-9960-A01FB269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Man</dc:creator>
  <cp:lastModifiedBy>T Man</cp:lastModifiedBy>
  <cp:revision>2</cp:revision>
  <dcterms:created xsi:type="dcterms:W3CDTF">2023-11-27T09:51:00Z</dcterms:created>
  <dcterms:modified xsi:type="dcterms:W3CDTF">2023-11-27T09:51:00Z</dcterms:modified>
</cp:coreProperties>
</file>