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left"/>
      </w:pPr>
      <w:r>
        <w:rPr>
          <w:b/>
          <w:i w:val="0"/>
          <w:sz w:val="28"/>
        </w:rPr>
        <w:t>Cover Letter</w:t>
      </w:r>
    </w:p>
    <w:p>
      <w:pPr>
        <w:spacing w:after="200" w:line="276" w:lineRule="auto"/>
      </w:pPr>
      <w:r>
        <w:rPr>
          <w:b w:val="0"/>
          <w:i/>
          <w:sz w:val="20"/>
        </w:rPr>
        <w:t>Journal of Affective Disorders — Resubmission</w:t>
      </w:r>
    </w:p>
    <w:p>
      <w:pPr>
        <w:spacing w:after="200" w:line="276" w:lineRule="auto"/>
      </w:pPr>
      <w:r>
        <w:rPr>
          <w:b w:val="0"/>
          <w:i w:val="0"/>
          <w:sz w:val="24"/>
        </w:rPr>
        <w:t>29 July 2026</w:t>
      </w:r>
    </w:p>
    <w:p>
      <w:pPr>
        <w:spacing w:after="0" w:line="276" w:lineRule="auto"/>
      </w:pPr>
      <w:r>
        <w:rPr>
          <w:b w:val="0"/>
          <w:i w:val="0"/>
          <w:sz w:val="24"/>
        </w:rPr>
        <w:t>Editor-in-Chief</w:t>
      </w:r>
    </w:p>
    <w:p>
      <w:pPr>
        <w:spacing w:after="200" w:line="276" w:lineRule="auto"/>
      </w:pPr>
      <w:r>
        <w:rPr>
          <w:b w:val="0"/>
          <w:i w:val="0"/>
          <w:sz w:val="24"/>
        </w:rPr>
        <w:t>Journal of Affective Disorders</w:t>
      </w:r>
    </w:p>
    <w:p>
      <w:pPr>
        <w:spacing w:after="160" w:line="276" w:lineRule="auto"/>
      </w:pPr>
      <w:r>
        <w:rPr>
          <w:b w:val="0"/>
          <w:i w:val="0"/>
          <w:sz w:val="24"/>
        </w:rPr>
        <w:t>Dear Editor-in-Chief,</w:t>
      </w:r>
    </w:p>
    <w:p>
      <w:pPr>
        <w:spacing w:after="160" w:line="276" w:lineRule="auto"/>
      </w:pPr>
      <w:r>
        <w:rPr>
          <w:b w:val="0"/>
          <w:i w:val="0"/>
          <w:sz w:val="24"/>
        </w:rPr>
        <w:t>We are pleased to submit our revised manuscript entitled “Genetic evidence for bidirectional associations between major depressive disorder and anxiety disorders: a bidirectional Mendelian randomization and functional annotation study” for reconsideration by the Journal of Affective Disorders. Our previous submission of this work was returned without external review. We have since undertaken a substantial methodological revision that directly addresses the concerns that we understand led to that decision, and we believe the manuscript now meets the methodological and reporting standards expected by the Journal.</w:t>
      </w:r>
    </w:p>
    <w:p>
      <w:pPr>
        <w:spacing w:after="160" w:line="276" w:lineRule="auto"/>
      </w:pPr>
      <w:r>
        <w:rPr>
          <w:b w:val="0"/>
          <w:i w:val="0"/>
          <w:sz w:val="24"/>
        </w:rPr>
        <w:t>In this bidirectional two-sample Mendelian randomization (MR) study we used ancestry-matched European-ancestry Psychiatric Genomics Consortium (PGC) GWAS summary statistics for MDD (up to 412,305 cases / 1,588,397 controls) and anxiety disorders (up to 122,083 cases / 729,602 controls). Applying real LD clumping against the 1000 Genomes European reference panel, we found strong genetic evidence that MDD increases liability to anxiety disorders (IVW OR = 2.34, 95% CI 2.23–2.46) and that anxiety disorders increase liability to MDD (IVW OR = 1.68, 95% CI 1.60–1.76). Both directions remained significant after correction for sample overlap, weak instruments, and winner’s curse using MRlap.</w:t>
      </w:r>
    </w:p>
    <w:p>
      <w:pPr>
        <w:spacing w:after="80" w:line="276" w:lineRule="auto"/>
      </w:pPr>
      <w:r>
        <w:rPr>
          <w:b w:val="0"/>
          <w:i w:val="0"/>
          <w:sz w:val="24"/>
        </w:rPr>
        <w:t>The revision strengthens the manuscript in the following ways:</w:t>
      </w:r>
    </w:p>
    <w:p>
      <w:pPr>
        <w:pStyle w:val="ListBullet"/>
        <w:spacing w:after="80" w:line="264" w:lineRule="auto"/>
      </w:pPr>
      <w:r>
        <w:rPr>
          <w:b/>
        </w:rPr>
        <w:t xml:space="preserve">Formal Steiger directionality testing </w:t>
      </w:r>
      <w:r>
        <w:t>confirmed the hypothesized exposure-to-outcome orientation in both directions (P = 0.018 for MDD→anxiety and P = 1.9 × 10⁻⁹⁵ for anxiety→MDD), guarding against reverse causation.</w:t>
      </w:r>
    </w:p>
    <w:p>
      <w:pPr>
        <w:pStyle w:val="ListBullet"/>
        <w:spacing w:after="80" w:line="264" w:lineRule="auto"/>
      </w:pPr>
      <w:r>
        <w:rPr>
          <w:b/>
        </w:rPr>
        <w:t xml:space="preserve">Instrument strength </w:t>
      </w:r>
      <w:r>
        <w:t>was quantified with F-statistics; all instruments exceeded the F &gt; 10 threshold (mean F = 44.0 for MDD and 37.9 for anxiety), ruling out weak-instrument bias.</w:t>
      </w:r>
    </w:p>
    <w:p>
      <w:pPr>
        <w:pStyle w:val="ListBullet"/>
        <w:spacing w:after="80" w:line="264" w:lineRule="auto"/>
      </w:pPr>
      <w:r>
        <w:rPr>
          <w:b/>
        </w:rPr>
        <w:t xml:space="preserve">Sensitivity analyses </w:t>
      </w:r>
      <w:r>
        <w:t>were expanded to include MR-RAPS, MR-PRESSO, and Radial MR as robust estimators under potential weak instrument or pleiotropic effects.</w:t>
      </w:r>
    </w:p>
    <w:p>
      <w:pPr>
        <w:pStyle w:val="ListBullet"/>
        <w:spacing w:after="80" w:line="264" w:lineRule="auto"/>
      </w:pPr>
      <w:r>
        <w:rPr>
          <w:b/>
        </w:rPr>
        <w:t xml:space="preserve">A population-matched sensitivity analysis </w:t>
      </w:r>
      <w:r>
        <w:t>using a European-specific MDD GWAS produced consistent results (OR = 2.19), addressing trans-ancestry/European matching concerns.</w:t>
      </w:r>
    </w:p>
    <w:p>
      <w:pPr>
        <w:pStyle w:val="ListBullet"/>
        <w:spacing w:after="80" w:line="264" w:lineRule="auto"/>
      </w:pPr>
      <w:r>
        <w:rPr>
          <w:b/>
        </w:rPr>
        <w:t xml:space="preserve">Sample overlap — </w:t>
      </w:r>
      <w:r>
        <w:t>a central concern given that both GWAS were coordinated within the PGC—was formally assessed with cross-trait LDSC (cross-trait intercept λ = 0.256, SE = 0.009) and corrected with MRlap. Corrected standardized effects were slightly larger than the observed IVW estimates in both directions (MDD→anxiety: β = 0.981 vs 0.876; anxiety→MDD: β = 0.627 vs 0.499; P &lt; 1 × 10⁻³⁷ in both), showing that sample overlap does not explain the associations.</w:t>
      </w:r>
    </w:p>
    <w:p>
      <w:pPr>
        <w:pStyle w:val="ListBullet"/>
        <w:spacing w:after="80" w:line="264" w:lineRule="auto"/>
      </w:pPr>
      <w:r>
        <w:rPr>
          <w:b/>
        </w:rPr>
        <w:t xml:space="preserve">Multivariable MR </w:t>
      </w:r>
      <w:r>
        <w:t>adjusted for three covariates (BMI, education, and smoking initiation) attenuated the MDD→anxiety estimate to OR = 1.15 (95% CI 1.09-1.22), indicating that shared behavioural and socioeconomic pathways partly mediate the association.</w:t>
      </w:r>
    </w:p>
    <w:p>
      <w:pPr>
        <w:pStyle w:val="ListBullet"/>
        <w:spacing w:after="80" w:line="264" w:lineRule="auto"/>
      </w:pPr>
      <w:r>
        <w:rPr>
          <w:b/>
        </w:rPr>
        <w:t xml:space="preserve">Exploratory functional annotation </w:t>
      </w:r>
      <w:r>
        <w:t>(colocalization, FUMA/MAGMA/eQTL) nominated candidate drug targets (e.g., SORCS3, VRK2, MCHR1) and cell-type-specific mechanisms (GABAergic interneurons), providing translational leads.</w:t>
      </w:r>
    </w:p>
    <w:p>
      <w:pPr>
        <w:pStyle w:val="ListBullet"/>
        <w:spacing w:after="80" w:line="264" w:lineRule="auto"/>
      </w:pPr>
      <w:r>
        <w:rPr>
          <w:b/>
        </w:rPr>
        <w:t xml:space="preserve">The manuscript now fully complies with the STROBE-MR reporting guideline </w:t>
      </w:r>
      <w:r>
        <w:t>(Skrivankova et al., 2021), supported by a completed STROBE-MR checklist provided as Supplementary Table S9.</w:t>
      </w:r>
    </w:p>
    <w:p>
      <w:pPr>
        <w:spacing w:after="160" w:line="276" w:lineRule="auto"/>
      </w:pPr>
      <w:r>
        <w:rPr>
          <w:b w:val="0"/>
          <w:i w:val="0"/>
          <w:sz w:val="24"/>
        </w:rPr>
        <w:t>We also clarify the direction-specific robustness. The MDD→anxiety direction showed no evidence of directional pleiotropy (MR-Egger intercept P = 0.864), whereas the anxiety→MDD direction was significant but more susceptible to directional pleiotropy (Egger intercept P = 0.006) and is presented with appropriate caution. The genetic correlation between the two disorders was positive and substantial (rg = 0.90, SE = 0.032, P &lt; 1 × 10⁻¹⁰⁰).</w:t>
      </w:r>
    </w:p>
    <w:p>
      <w:pPr>
        <w:spacing w:after="160" w:line="276" w:lineRule="auto"/>
      </w:pPr>
      <w:r>
        <w:rPr>
          <w:b w:val="0"/>
          <w:i w:val="0"/>
          <w:sz w:val="24"/>
        </w:rPr>
        <w:t>To maximize transparency and reproducibility, the complete analysis pipeline—instrument selection, harmonisation, bidirectional MR, multivariable MR, LDSC, colocalization, and functional annotation—has been deposited in a public GitHub repository (https://github.com/Pinellia7ternata/Causal-Inference-1; the repository link will be activated upon acceptance). Processed summary tables are provided in the Supplementary Material.</w:t>
      </w:r>
    </w:p>
    <w:p>
      <w:pPr>
        <w:spacing w:after="160" w:line="276" w:lineRule="auto"/>
      </w:pPr>
      <w:r>
        <w:rPr>
          <w:b w:val="0"/>
          <w:i w:val="0"/>
          <w:sz w:val="24"/>
        </w:rPr>
        <w:t>To our knowledge this is the first bidirectional MR study of MDD and anxiety disorders to combine real LD clumping against a European reference panel, formal Steiger directionality testing, explicit instrument-strength quantification, ancestry-matched summary statistics from the latest PGC GWAS, and genome-wide colocalization integrated with drug-target-oriented functional annotation. MDD and anxiety disorders impose a large and growing global burden and rank among the leading causes of disability; we believe the resulting, methodologically stringent causal picture of MDD–anxiety comorbidity is of direct interest to the Journal’s readership.</w:t>
      </w:r>
    </w:p>
    <w:p>
      <w:pPr>
        <w:spacing w:after="200" w:line="276" w:lineRule="auto"/>
      </w:pPr>
      <w:r>
        <w:rPr>
          <w:b w:val="0"/>
          <w:i w:val="0"/>
          <w:sz w:val="24"/>
        </w:rPr>
        <w:t>All authors have approved the manuscript and agree with its submission to the Journal of Affective Disorders. The analyses used only publicly available, de-identified summary-level GWAS data and therefore did not require additional ethical approval. The authors declare no competing interests. Funding sources are acknowledged in the manuscript.</w:t>
      </w:r>
    </w:p>
    <w:p>
      <w:pPr>
        <w:spacing w:after="240" w:line="276" w:lineRule="auto"/>
      </w:pPr>
      <w:r>
        <w:rPr>
          <w:b w:val="0"/>
          <w:i w:val="0"/>
          <w:sz w:val="24"/>
        </w:rPr>
        <w:t>Thank you for your time and consideration. We look forward to your response.</w:t>
      </w:r>
    </w:p>
    <w:p>
      <w:pPr>
        <w:spacing w:after="200" w:line="276" w:lineRule="auto"/>
      </w:pPr>
      <w:r>
        <w:rPr>
          <w:b w:val="0"/>
          <w:i w:val="0"/>
          <w:sz w:val="24"/>
        </w:rPr>
        <w:t>Sincerely,</w:t>
      </w:r>
    </w:p>
    <w:p>
      <w:r>
        <w:t>Chao Chen¹, Zehui Chen¹, 刘晔², 雷蕾¹*</w:t>
      </w:r>
    </w:p>
    <w:p>
      <w:r>
        <w:t>¹ Institute of Information on Traditional Chinese Medicine, China Academy of Chinese Medical Sciences, Beijing 100700, China</w:t>
      </w:r>
    </w:p>
    <w:p>
      <w:r>
        <w:t>² Wangjing Hospital, China Academy of Chinese Medical Sciences, Beijing, China</w:t>
      </w:r>
    </w:p>
    <w:p>
      <w:r>
        <w:t>* Corresponding author: 雷蕾. Email: leilei@mail.cintcm.ac.cn</w:t>
      </w:r>
    </w:p>
    <w:p>
      <w:r>
        <w:t>Author emails: Chao Chen, chenchao_0727@163.com; Zehui Chen, zehuijzl01@163.com; 刘晔, liuye7562@163.com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