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captions</w:t>
      </w:r>
    </w:p>
    <w:p>
      <w:r>
        <w:rPr>
          <w:b/>
        </w:rPr>
        <w:t xml:space="preserve">Figure 1. </w:t>
      </w:r>
      <w:r>
        <w:t>Study design and workflow. The diagram summarizes data sources, quality control, 1000 Genomes European reference-based LD clumping, harmonisation, bidirectional MR, multivariable MR, LDSC, colocalization, and exploratory FUMA/MAGMA/eQTL analyses.</w:t>
      </w:r>
    </w:p>
    <w:p>
      <w:r>
        <w:rPr>
          <w:b/>
        </w:rPr>
        <w:t xml:space="preserve">Figure 2. </w:t>
      </w:r>
      <w:r>
        <w:t>Bidirectional Mendelian randomization forest plot. Odds ratios and 95% confidence intervals are shown for IVW, MR-Egger, and weighted median estimates in the MDD-to-anxiety and anxiety-to-MDD directions. The vertical line indicates OR = 1.</w:t>
      </w:r>
    </w:p>
    <w:p>
      <w:r>
        <w:rPr>
          <w:b/>
        </w:rPr>
        <w:t xml:space="preserve">Figure 3. </w:t>
      </w:r>
      <w:r>
        <w:t>Full multivariable Mendelian randomization forest plot. Estimates are shown after conditioning on BMI, education, and smoking initiation. Conditional F-statistics for the primary exposures were 24.7 for MDD and 20.0 for anxiety disorders.</w:t>
      </w:r>
    </w:p>
    <w:p>
      <w:r>
        <w:rPr>
          <w:b/>
        </w:rPr>
        <w:t xml:space="preserve">Supplementary Figure S1. </w:t>
      </w:r>
      <w:r>
        <w:t>MR scatter plots for the MDD-to-anxiety and anxiety-to-MDD analyses.</w:t>
      </w:r>
    </w:p>
    <w:p>
      <w:r>
        <w:rPr>
          <w:b/>
        </w:rPr>
        <w:t xml:space="preserve">Supplementary Figure S2. </w:t>
      </w:r>
      <w:r>
        <w:t>Leave-one-out sensitivity analyses for the bidirectional MR estimates.</w:t>
      </w:r>
    </w:p>
    <w:p>
      <w:r>
        <w:rPr>
          <w:b/>
        </w:rPr>
        <w:t xml:space="preserve">Supplementary Figure S3. </w:t>
      </w:r>
      <w:r>
        <w:t>Funnel plots for assessing asymmetry and potential pleiotropy.</w:t>
      </w:r>
    </w:p>
    <w:p>
      <w:r>
        <w:rPr>
          <w:b/>
        </w:rPr>
        <w:t xml:space="preserve">Supplementary Figure S4. </w:t>
      </w:r>
      <w:r>
        <w:t>Exploratory GSEA pathway bubble plot summarizing FUMA/MAGMA pathway enrichment results.</w:t>
      </w:r>
    </w:p>
    <w:p>
      <w:r>
        <w:rPr>
          <w:b/>
        </w:rPr>
        <w:t xml:space="preserve">Supplementary Figure S5. </w:t>
      </w:r>
      <w:r>
        <w:t>Summary of shared genetic architecture and exploratory functional annotation, including LDSC, colocalization, MAGMA, GSEA, and eQTL outputs.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