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Bidirectional genetic evidence links MDD and anxiety disorders.</w:t>
      </w:r>
    </w:p>
    <w:p>
      <w:pPr>
        <w:pStyle w:val="ListBullet"/>
      </w:pPr>
      <w:r>
        <w:t>MDD-to-anxiety evidence was stronger and directionally consistent.</w:t>
      </w:r>
    </w:p>
    <w:p>
      <w:pPr>
        <w:pStyle w:val="ListBullet"/>
      </w:pPr>
      <w:r>
        <w:t>Reverse anxiety-to-MDD estimates may be affected by pleiotropy.</w:t>
      </w:r>
    </w:p>
    <w:p>
      <w:pPr>
        <w:pStyle w:val="ListBullet"/>
      </w:pPr>
      <w:r>
        <w:t>MVMR showed attenuated but significant direct associations.</w:t>
      </w:r>
    </w:p>
    <w:p>
      <w:pPr>
        <w:pStyle w:val="ListBullet"/>
      </w:pPr>
      <w:r>
        <w:t>Colocalization and annotation suggest shared synaptic pathways.</w:t>
      </w:r>
    </w:p>
    <w:p>
      <w:r>
        <w:t>Note: Each highlight is within the 85-character limit including spaces.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