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STROBE-MR Checklist</w:t>
      </w:r>
    </w:p>
    <w:p>
      <w:r>
        <w:rPr>
          <w:b/>
        </w:rPr>
        <w:t>Study Title:</w:t>
      </w:r>
      <w:r>
        <w:t xml:space="preserve"> Genetic evidence for bidirectional associations between major depressive disorder and anxiety disorders: a bidirectional Mendelian randomization and functional annotation study</w:t>
      </w:r>
    </w:p>
    <w:p>
      <w:r>
        <w:rPr>
          <w:b/>
        </w:rPr>
        <w:t>Authors: Chao Chen, Zehui Chen, 刘晔, 雷蕾</w:t>
      </w:r>
    </w:p>
    <w:p>
      <w:r>
        <w:rPr>
          <w:b/>
        </w:rPr>
        <w:t>Journal:</w:t>
      </w:r>
      <w:r>
        <w:t xml:space="preserve"> Journal of Affective Disorders</w:t>
      </w:r>
    </w:p>
    <w:p>
      <w:r>
        <w:rPr>
          <w:b/>
        </w:rPr>
        <w:t>Date:</w:t>
      </w:r>
      <w:r>
        <w:t xml:space="preserve"> 2026-07-28</w:t>
      </w:r>
    </w:p>
    <w:p>
      <w:pPr>
        <w:pStyle w:val="Heading2"/>
      </w:pPr>
      <w:r>
        <w:t>Instructions</w:t>
      </w:r>
    </w:p>
    <w:p>
      <w:r>
        <w:t>The STROBE-MR (Strengthening the Reporting of Observational Studies in Epidemiology using Mendelian Randomization) checklist contains 22 items. Each item should be addressed in the manuscript. This document maps each STROBE-MR item to the relevant section of our manuscript.</w:t>
      </w:r>
    </w:p>
    <w:p>
      <w:pPr>
        <w:pStyle w:val="Heading2"/>
      </w:pPr>
      <w:r>
        <w:t>STROBE-MR Checklist Items</w:t>
      </w:r>
    </w:p>
    <w:p>
      <w:pPr>
        <w:pStyle w:val="Heading3"/>
      </w:pPr>
      <w:r>
        <w:t>TITLE and ABSTRACT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Manuscript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Indicate Mendelian randomization (MR) as the study type in the title and/or abstract.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Title:</w:t>
            </w:r>
            <w:r>
              <w:t xml:space="preserve"> "...a bidirectional Mendelian randomization and functional annotation study". </w:t>
            </w:r>
            <w:r>
              <w:rPr>
                <w:b/>
              </w:rPr>
              <w:t>Abstract Methods:</w:t>
            </w:r>
            <w:r>
              <w:t xml:space="preserve"> "We performed bidirectional two-sample Mendelian randomization..."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Provide an informative and balanced summary of what was done and what was found in the abstract.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Abstract:</w:t>
            </w:r>
            <w:r>
              <w:t xml:space="preserve"> Structured abstract with Background, Methods, Results, Limitations, and Conclusions, including instrument strength (F-statistics), Steiger directionality tests, bidirectional estimates, MVMR, LDSC, colocalization, and functional annotation.</w:t>
            </w:r>
          </w:p>
        </w:tc>
      </w:tr>
    </w:tbl>
    <w:p/>
    <w:p>
      <w:pPr>
        <w:pStyle w:val="Heading3"/>
      </w:pPr>
      <w:r>
        <w:t>INTRODUCTION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Manuscript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Explain the scientific rationale for the MR study, including: (a) why MR is a helpful method to address the study question; (b) rationale for the selected exposures and outcomes; and (c) rationale for the selected genetic instruments.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1, paragraphs 2-3:</w:t>
            </w:r>
            <w:r>
              <w:t xml:space="preserve"> (a) MR reduces confounding and reverse causation; (b) MDD and anxiety disorders are highly comorbid with unclear directionality; (c) the latest large-scale PGC GWAS provide strong genetic instruments.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the causal hypothes(es) being tested, including which exposure(s) influence which outcome(s), and specify the direction of the hypothesized effect.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1, final paragraph:</w:t>
            </w:r>
            <w:r>
              <w:t xml:space="preserve"> four pre-specified aims covering bidirectional associations between MDD and anxiety disorders, formal directionality testing, sample-overlap and ancestry-matching evaluation, and shared-mechanism exploration.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State that the MR study and its results should be viewed as an investigation of potentially causal relationships rather than definitive proof of causality.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Throughout:</w:t>
            </w:r>
            <w:r>
              <w:t xml:space="preserve"> consistent use of "putative", "genetic evidence for", and "suggests"; explicit cautionary language in the Abstract Limitations and Section 4.1.</w:t>
            </w:r>
          </w:p>
        </w:tc>
      </w:tr>
    </w:tbl>
    <w:p/>
    <w:p>
      <w:pPr>
        <w:pStyle w:val="Heading3"/>
      </w:pPr>
      <w:r>
        <w:t>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Manuscript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State the source of data for the MR analyses. If relevant, state that a systematic review of identified studies was performed to select data sources.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2.2:</w:t>
            </w:r>
            <w:r>
              <w:t xml:space="preserve"> European-ancestry subset (excluding 23andMe) of the PGC 2025 depression GWAS; PGC 2026 anxiety GWAS; IEU OpenGWAS for covariates. No systematic review was performed; the largest available ancestry-matched GWAS were selected.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Provide full details on how genetic instruments were selected, including: (a) instrument selection algorithm; (b) number of instruments; (c) method of accounting for linkage disequilibrium; (d) genetic instrument strength, such as expected F statistics or R²; and (e) allele frequencies if available.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2.2-2.4:</w:t>
            </w:r>
            <w:r>
              <w:t xml:space="preserve"> (a) P &lt; 5 x 10^-8; (b) 198 MDD and 50 anxiety instruments after harmonisation; (c) PLINK v1.9 clumping with 1000 Genomes Phase 3 EUR (r2 &lt; 0.001, 10,000 kb); (d) F-statistics reported (mean F = 44.0, range 29.6-118.1 for MDD; mean F = 37.9, range 29.9-59.8 for anxiety; all F &gt; 10); (e) EAF taken from the GWAS and used in QC (0.01-0.99).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all MR estimators used and state the rationale for their selection.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2.4:</w:t>
            </w:r>
            <w:r>
              <w:t xml:space="preserve"> IVW (primary), MR-Egger (directional pleiotropy), weighted median/mode and simple mode (robust), MR-PRESSO and Radial MR (outliers), MR-RAPS (robust to weak-instrument and overlap-related inflation). Rationale stated for each.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all statistical methods and their underlying assumptions, including: (a) methods to evaluate pleiotropy and related assumptions; (b) methods to evaluate sample overlap; (c) methods to evaluate and/or correct for weak instruments; and (d) any other relevant assumptions.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2.4-2.6:</w:t>
            </w:r>
            <w:r>
              <w:t xml:space="preserve"> (a) MR-Egger intercept, MR-PRESSO, Radial MR, funnel plots; (b) formal overlap correction with MRlap (cross-trait LDSC intercept lambda = 0.256, SE = 0.009), strong instruments (all F &gt;&gt; 10), MR-RAPS; (c) F-statistics with F &lt; 10 pre-specified as weak; (d) standard IVW/MR assumptions (relevance, independence, exclusion restriction).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any sample restrictions and justify them.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2.2-2.3:</w:t>
            </w:r>
            <w:r>
              <w:t xml:space="preserve"> EAF 0.01-0.99, autosomal variants only, palindromic-variant handling; European-ancestry restriction of both GWAS justified by ancestry matching and data availability.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any pre-specified analyses, including: (a) primary and secondary analyses; (b) sensitivity analyses; (c) subgroup analyses; (d) effect measure modifiers; (e) statistical methods for multiple testing; and (f) any other pre-specified analyses.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2.4-2.6:</w:t>
            </w:r>
            <w:r>
              <w:t xml:space="preserve"> (a) primary IVW; (b) robust estimators, MR-RAPS, Steiger directionality tests, ancestry-matched (European-specific MDD) analysis; (c) none; (d) none; (e) no multiple-testing correction for the two primary MR tests; nominal thresholds with exploratory labeling for annotation; (f) MVMR, LDSC, colocalization, drug-target and cell-type interpretation.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any methods used to assess or address violations of MR assumptions (e.g., horizontal pleiotropy, dynastic effects, population stratification).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2.4-2.6:</w:t>
            </w:r>
            <w:r>
              <w:t xml:space="preserve"> horizontal pleiotropy: MR-Egger intercept, MR-PRESSO, Radial MR, weighted median; population stratification: European LD reference and ancestry-matched datasets; dynastic effects: not directly testable with summary data, acknowledged in Section 4.1.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any statistical methods used to account for sample structure (e.g., through genomic control, linear mixed models, or other approaches).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2.2:</w:t>
            </w:r>
            <w:r>
              <w:t xml:space="preserve"> original GWAS applied genomic control / mixed models; all reference-based steps used the 1000 Genomes European panel.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If a multivariable MR or factorial MR analysis was performed, provide full details on the additional genetic variants and exposures included, and the statistical methods used.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2.5:</w:t>
            </w:r>
            <w:r>
              <w:t xml:space="preserve"> MVMR conditioning on BMI, education, and smoking initiation; conditional F-statistics reported (24.7 and 20.0); full models in Table 3 and Supplementary Table S7.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If any Mendelian randomization analyses were performed using individual participant data, describe: (a) the sampling strategy; (b) the number of participants and observations; (c) the method of data collection; and (d) any inclusion and exclusion criteria.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applicable:</w:t>
            </w:r>
            <w:r>
              <w:t xml:space="preserve"> summary-level GWAS data only.</w:t>
            </w:r>
          </w:p>
        </w:tc>
      </w:tr>
    </w:tbl>
    <w:p/>
    <w:p>
      <w:pPr>
        <w:pStyle w:val="Heading3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Manuscript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the number of individuals and number of cases and controls, as applicable, who were included in the GWAS from which genetic instruments were obtained.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 2.2 and Table 1:</w:t>
            </w:r>
            <w:r>
              <w:t xml:space="preserve"> MDD up to 412,305 cases / 1,588,397 controls (European ancestry, no 23andMe); anxiety up to 122,083 cases / 729,602 controls.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the strength of each genetic instrument.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2.4 and 3.1, Table 1 note:</w:t>
            </w:r>
            <w:r>
              <w:t xml:space="preserve"> per-variant F-statistics computed as beta^2/SE^2; MDD mean F = 44.0 (range 29.6-118.1), anxiety mean F = 37.9 (range 29.9-59.8); no instrument with F &lt; 10.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the MR estimates for each analysis conducted.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Tables 2-3, Sections 3.1-3.2:</w:t>
            </w:r>
            <w:r>
              <w:t xml:space="preserve"> beta, SE, OR, 95% CI, and P values reported for IVW, MR-Egger, weighted median, weighted mode, and simple mode in both directions, and for full MVMR models.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the assessment of the validity of MR assumptions, such as: (a) tests for pleiotropy; (b) reports of sample overlap; (c) Cochran's Q statistic and I²; (d) leave-one-out analyses; and (e) other relevant statistics.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3.1 and 4.1:</w:t>
            </w:r>
            <w:r>
              <w:t xml:space="preserve"> (a) MR-Egger intercepts (P = 0.864; P = 0.006), MR-PRESSO; (b) participant overlap formally corrected with MRlap (corrected estimates not attenuated, P &lt; 1 x 10^-37); (c) Cochran's Q heterogeneity assessed; (d) leave-one-out in Supplementary Figures S1-S3; (e) Steiger directionality tests (P = 0.018 and P = 1.9 x 10^-95).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any additional analyses (e.g., sensitivity analyses, subgroup analyses, or effect measure modification analyses) and their results.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3.1-3.4:</w:t>
            </w:r>
            <w:r>
              <w:t xml:space="preserve"> ancestry-matched European-specific MDD analysis; MVMR; LDSC genetic correlation; colocalization; exploratory FUMA/MAGMA/eQTL annotation with drug-target and cell-type interpretation.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any evidence of violations of the assumptions underlying the MR analyses and describe the likely direction of bias.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3.1, 4 and 4.1:</w:t>
            </w:r>
            <w:r>
              <w:t xml:space="preserve"> anxiety-to-MDD directional pleiotropy (Egger intercept P = 0.006, likely inflating the reverse estimate); participant overlap would bias estimates toward the observational association; liability-scale scaling and winner's curse inflate apparent magnitudes.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Describe any cases of known or suspected overlapping samples between the exposure and outcome GWAS.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Sections 2.2, 2.4 and 4.1:</w:t>
            </w:r>
            <w:r>
              <w:t xml:space="preserve"> both GWAS are PGC meta-analyses sharing contributing cohorts; cross-trait LDSC intercept lambda = 0.256 (SE = 0.009) confirms non-trivial overlap; MRlap-corrected estimates were slightly larger than observed in both directions, excluding overlap as an explanation of the associations.</w:t>
            </w:r>
          </w:p>
        </w:tc>
      </w:tr>
    </w:tbl>
    <w:p/>
    <w:p>
      <w:pPr>
        <w:pStyle w:val="Heading2"/>
      </w:pPr>
      <w:r>
        <w:t>Additional Reporting Items</w:t>
      </w:r>
    </w:p>
    <w:p>
      <w:pPr>
        <w:pStyle w:val="Heading3"/>
      </w:pPr>
      <w:r>
        <w:t>Data Availability and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t>Data availability statement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GWAS summary statistics from PGC and IEU OpenGWAS (URLs provided).</w:t>
            </w:r>
          </w:p>
        </w:tc>
      </w:tr>
      <w:tr>
        <w:tc>
          <w:tcPr>
            <w:tcW w:type="dxa" w:w="2880"/>
          </w:tcPr>
          <w:p>
            <w:r/>
            <w:r>
              <w:t>Code availability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Full analysis pipeline deposited in a public GitHub repository (link to be activated upon acceptance); processed tables in the Supplementary Material.</w:t>
            </w:r>
          </w:p>
        </w:tc>
      </w:tr>
      <w:tr>
        <w:tc>
          <w:tcPr>
            <w:tcW w:type="dxa" w:w="2880"/>
          </w:tcPr>
          <w:p>
            <w:r/>
            <w:r>
              <w:t>Software versions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PLINK v1.9; R with TwoSampleMR, MendelianRandomization, MR-PRESSO, and coloc packages.</w:t>
            </w:r>
          </w:p>
        </w:tc>
      </w:tr>
    </w:tbl>
    <w:p/>
    <w:p>
      <w:pPr>
        <w:pStyle w:val="Heading3"/>
      </w:pPr>
      <w:r>
        <w:t>Ethics and Funding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t>Ethics approval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No new individual-level data; original studies obtained approval and consent.</w:t>
            </w:r>
          </w:p>
        </w:tc>
      </w:tr>
      <w:tr>
        <w:tc>
          <w:tcPr>
            <w:tcW w:type="dxa" w:w="2880"/>
          </w:tcPr>
          <w:p>
            <w:r/>
            <w:r>
              <w:t>Funding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NSFC Grant 82405293.</w:t>
            </w:r>
          </w:p>
        </w:tc>
      </w:tr>
      <w:tr>
        <w:tc>
          <w:tcPr>
            <w:tcW w:type="dxa" w:w="2880"/>
          </w:tcPr>
          <w:p>
            <w:r/>
            <w:r>
              <w:t>Competing interests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t>None declared.</w:t>
            </w:r>
          </w:p>
        </w:tc>
      </w:tr>
    </w:tbl>
    <w:p/>
    <w:p>
      <w:pPr>
        <w:pStyle w:val="Heading2"/>
      </w:pPr>
      <w:r>
        <w:t>Compliance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Title and Abstract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2/2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Introduction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3/3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Methods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10/10</w:t>
            </w:r>
          </w:p>
        </w:tc>
        <w:tc>
          <w:tcPr>
            <w:tcW w:type="dxa" w:w="2160"/>
          </w:tcPr>
          <w:p>
            <w:r/>
            <w:r>
              <w:t>✓ (Item 15 N/A)</w:t>
            </w:r>
          </w:p>
        </w:tc>
      </w:tr>
      <w:tr>
        <w:tc>
          <w:tcPr>
            <w:tcW w:type="dxa" w:w="2160"/>
          </w:tcPr>
          <w:p>
            <w:r/>
            <w:r>
              <w:t>Results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7/7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22/22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Fully compliant</w:t>
            </w:r>
          </w:p>
        </w:tc>
      </w:tr>
    </w:tbl>
    <w:p/>
    <w:p>
      <w:pPr>
        <w:pStyle w:val="Heading2"/>
      </w:pPr>
      <w:r>
        <w:t>Sign-off</w:t>
      </w:r>
    </w:p>
    <w:p>
      <w:r>
        <w:t>This checklist was completed by the corresponding authors to ensure full compliance with STROBE-MR reporting guidelines. All 22 items have been addressed in the manuscript.</w:t>
      </w:r>
    </w:p>
    <w:p>
      <w:r>
        <w:rPr>
          <w:b/>
        </w:rPr>
        <w:t>Completed by:</w:t>
      </w:r>
      <w:r>
        <w:t xml:space="preserve"> _________________________ </w:t>
      </w:r>
      <w:r>
        <w:rPr>
          <w:b/>
        </w:rPr>
        <w:t>Date:</w:t>
      </w:r>
      <w:r>
        <w:t xml:space="preserve"> _______________</w:t>
      </w:r>
    </w:p>
    <w:p>
      <w:pPr>
        <w:pStyle w:val="Heading2"/>
      </w:pPr>
      <w:r>
        <w:t>References</w:t>
      </w:r>
    </w:p>
    <w:p>
      <w:r>
        <w:t>Skrivankova, V.W., Richmond, R.C., Woolf, B.A.R., et al., 2021. Strengthening the reporting of observational studies in epidemiology using Mendelian randomization: the STROBE-MR statement. JAMA 326, 1614-1621.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