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功能目标"/>
    <w:p>
      <w:pPr>
        <w:pStyle w:val="2"/>
        <w:spacing w:line="312" w:lineRule="auto" w:before="60" w:after="60"/>
        <w:ind w:firstLine="0" w:left="0"/>
      </w:pPr>
      <w:r>
        <w:rPr>
          <w:rFonts w:hint="eastAsia" w:ascii="Times New Roman" w:hAnsi="Times New Roman" w:eastAsia="宋体" w:cs="宋体"/>
          <w:b/>
          <w:color w:val="000000"/>
          <w:sz w:val="40"/>
        </w:rPr>
        <w:t xml:space="preserve">功能目标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对输入的机械工程图纸进行自动化识别、几何语义解析，将图纸中所有标注、技术要求、图纸属性转换为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带唯一编号的结构化技术要求项目清单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，结果需完整覆盖图纸核心信息，同时输出标注坐标信息，支撑后续我方自主完成序号修改、检验计划生成、图数双向定位等业务功能。</w:t>
      </w:r>
    </w:p>
    <w:bookmarkEnd w:id="9"/>
    <w:bookmarkStart w:id="10" w:name="输入兼容要求"/>
    <w:p>
      <w:pPr>
        <w:pStyle w:val="2"/>
        <w:spacing w:line="312" w:lineRule="auto" w:before="60" w:after="60"/>
        <w:ind w:firstLine="0" w:left="0"/>
      </w:pPr>
      <w:r>
        <w:rPr>
          <w:rFonts w:hint="eastAsia" w:ascii="Times New Roman" w:hAnsi="Times New Roman" w:eastAsia="宋体" w:cs="宋体"/>
          <w:b/>
          <w:color w:val="000000"/>
          <w:sz w:val="40"/>
        </w:rPr>
        <w:t xml:space="preserve">输入兼容要求</w:t>
      </w:r>
    </w:p>
    <w:p>
      <w:pPr>
        <w:pStyle w:val="FirstParagraph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1.支持格式：兼容矢量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PDF、300DPI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及以上清晰度的扫描版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PDF，以及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DWG/DXF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等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CAD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格式导出的图纸文件；</w:t>
      </w:r>
    </w:p>
    <w:p>
      <w:pPr>
        <w:pStyle w:val="BodyText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2.支持模式：支持单张图纸上传识别、批量图纸上传识别（单次批量≥50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张），适配多页长图纸分页识别。</w:t>
      </w:r>
    </w:p>
    <w:bookmarkEnd w:id="10"/>
    <w:bookmarkStart w:id="14" w:name="输出字段要求"/>
    <w:p>
      <w:pPr>
        <w:pStyle w:val="2"/>
        <w:spacing w:line="312" w:lineRule="auto" w:before="60" w:after="60"/>
        <w:ind w:firstLine="0" w:left="0"/>
      </w:pPr>
      <w:r>
        <w:rPr>
          <w:rFonts w:hint="eastAsia" w:ascii="Times New Roman" w:hAnsi="Times New Roman" w:eastAsia="宋体" w:cs="宋体"/>
          <w:b/>
          <w:color w:val="000000"/>
          <w:sz w:val="40"/>
        </w:rPr>
        <w:t xml:space="preserve">输出字段要求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输出结果分为「图纸全局属性」和「单条技术要求项目」两部分，所有必填字段不得遗漏：</w:t>
      </w:r>
    </w:p>
    <w:bookmarkStart w:id="11" w:name="图纸全局属性每张图纸输出-1-组"/>
    <w:p>
      <w:pPr>
        <w:pStyle w:val="3"/>
        <w:spacing w:line="312" w:lineRule="auto" w:before="60" w:after="60"/>
        <w:ind w:firstLine="0" w:left="0"/>
      </w:pPr>
      <w:r>
        <w:rPr>
          <w:rFonts w:hint="eastAsia" w:ascii="Times New Roman" w:hAnsi="Times New Roman" w:eastAsia="宋体" w:cs="宋体"/>
          <w:b/>
          <w:color w:val="000000"/>
          <w:sz w:val="36"/>
        </w:rPr>
        <w:t xml:space="preserve">图纸全局属性（每张图纸输出</w:t>
      </w:r>
      <w:r>
        <w:rPr>
          <w:rFonts w:ascii="Times New Roman" w:hAnsi="Times New Roman" w:eastAsia="宋体" w:cs="宋体"/>
          <w:b/>
          <w:color w:val="000000"/>
          <w:sz w:val="36"/>
        </w:rPr>
        <w:t xml:space="preserve"> 1 </w:t>
      </w:r>
      <w:r>
        <w:rPr>
          <w:rFonts w:hint="eastAsia" w:ascii="Times New Roman" w:hAnsi="Times New Roman" w:eastAsia="宋体" w:cs="宋体"/>
          <w:b/>
          <w:color w:val="000000"/>
          <w:sz w:val="36"/>
        </w:rPr>
        <w:t xml:space="preserve">组）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 w:val="24"/>
              </w:rPr>
              <w:t xml:space="preserve">字段名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 w:val="24"/>
              </w:rPr>
              <w:t xml:space="preserve">输出要求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产品名称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准确提取标题栏中产品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零件名称，完整识别中英文、数字、特殊符号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图纸号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准确提取标题栏中图号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零件号，支持带前缀、后缀、版本标记的复杂图号识别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版本号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提取标题栏中图纸版本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修订号，兼容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A/0/1/Rev.1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等常见版本格式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页码信息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输出当前页页码、图纸总页数，多页图纸分页独立识别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图幅信息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识别图纸幅面规格（A0/A1/A2/A3/A4）、图纸方向（横向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纵向）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全局技术要求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完整提取图纸中全局通用要求，包括未注公差标准、全局粗糙度、热处理要求、通用倒角规则等全图生效的技术条款</w:t>
            </w:r>
          </w:p>
        </w:tc>
      </w:tr>
    </w:tbl>
    <w:bookmarkEnd w:id="11"/>
    <w:bookmarkStart w:id="12" w:name="单条技术要求项目每个标注-独立技术条款输出-1-条自带唯一编号"/>
    <w:p>
      <w:pPr>
        <w:pStyle w:val="3"/>
        <w:spacing w:line="312" w:lineRule="auto" w:before="60" w:after="60"/>
        <w:ind w:firstLine="0" w:left="0"/>
      </w:pPr>
      <w:r>
        <w:rPr>
          <w:rFonts w:hint="eastAsia" w:ascii="Times New Roman" w:hAnsi="Times New Roman" w:eastAsia="宋体" w:cs="宋体"/>
          <w:b/>
          <w:color w:val="000000"/>
          <w:sz w:val="36"/>
        </w:rPr>
        <w:t xml:space="preserve">单条技术要求项目（每个标注</w:t>
      </w:r>
      <w:r>
        <w:rPr>
          <w:rFonts w:ascii="Times New Roman" w:hAnsi="Times New Roman" w:eastAsia="宋体" w:cs="宋体"/>
          <w:b/>
          <w:color w:val="000000"/>
          <w:sz w:val="36"/>
        </w:rPr>
        <w:t xml:space="preserve"> / </w:t>
      </w:r>
      <w:r>
        <w:rPr>
          <w:rFonts w:hint="eastAsia" w:ascii="Times New Roman" w:hAnsi="Times New Roman" w:eastAsia="宋体" w:cs="宋体"/>
          <w:b/>
          <w:color w:val="000000"/>
          <w:sz w:val="36"/>
        </w:rPr>
        <w:t xml:space="preserve">独立技术条款输出</w:t>
      </w:r>
      <w:r>
        <w:rPr>
          <w:rFonts w:ascii="Times New Roman" w:hAnsi="Times New Roman" w:eastAsia="宋体" w:cs="宋体"/>
          <w:b/>
          <w:color w:val="000000"/>
          <w:sz w:val="36"/>
        </w:rPr>
        <w:t xml:space="preserve"> 1 </w:t>
      </w:r>
      <w:r>
        <w:rPr>
          <w:rFonts w:hint="eastAsia" w:ascii="Times New Roman" w:hAnsi="Times New Roman" w:eastAsia="宋体" w:cs="宋体"/>
          <w:b/>
          <w:color w:val="000000"/>
          <w:sz w:val="36"/>
        </w:rPr>
        <w:t xml:space="preserve">条，自带唯一编号）</w:t>
      </w:r>
    </w:p>
    <w:tbl>
      <w:tblPr>
        <w:tblStyle w:val="Table"/>
        <w:tblLayout w:type="fixed"/>
        <w:tblLook w:firstRow="1" w:lastRow="0" w:firstColumn="0" w:lastColumn="0" w:noHBand="0" w:noVBand="0" w:val="0020"/>
        <w:tblW w:type="pct" w:w="500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 w:val="24"/>
              </w:rPr>
              <w:t xml:space="preserve">字段名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/>
                <w:bCs/>
                <w:color w:val="000000"/>
                <w:sz w:val="24"/>
              </w:rPr>
              <w:t xml:space="preserve">输出要求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项目初始编号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为每个识别出的标注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技术条款生成全局唯一数字编号，编号与图纸标注一一对应，无重复、无遗漏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图幅区域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识别该标注所在的标准图幅分区（按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GB/ISO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行列分区规则，如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A1、B3、C2）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标注类型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标记标注分类：尺寸标注（长度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半径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直径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角度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螺纹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孔位等）、尺寸公差标注、形位公差标注、粗糙度标注、焊接符号标注、技术要求文本、其他特殊标注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标注内容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完整提取标注的数值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/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文本内容：-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尺寸类：尺寸数值、单位、螺纹规格（如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M6、G1/2）-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公差类：公差类型、公差值、基准信息（如位置度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Φ0.1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@A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）-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文本类：完整提取技术要求文本，保留换行、条目逻辑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数量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针对成组标注（如4-Φ10、6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处均布孔、阵列特征等），单独识别并输出对应特征的数量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公差详情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拆分输出独立字段：1.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标注自带公差的上偏差、下偏差；2.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未注公差自动匹配结果：根据图纸指定标准（ISO/GB/ASME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等），输出对应尺寸的未注公差值、引用标准号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唯一标识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ID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为每个项目生成全局唯一字符串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ID，作为后续序号修改、数据关联、量检具绑定的唯一主键</w:t>
            </w:r>
          </w:p>
        </w:tc>
      </w:tr>
      <w:tr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坐标信息</w:t>
            </w:r>
          </w:p>
        </w:tc>
        <w:tc>
          <w:tcPr>
            <w:vAlign w:val="center"/>
          </w:tcPr>
          <w:p>
            <w:pPr>
              <w:pStyle w:val="TableText"/>
              <w:spacing w:line="240" w:lineRule="auto" w:before="0" w:after="0"/>
              <w:ind w:firstLine="0" w:left="0"/>
              <w:jc w:val="center"/>
            </w:pP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输出该标注在图纸页面坐标系下的完整坐标：包含标注锚点坐标、文本框四角坐标、引线起止点坐标；需明确坐标系规则（原点为页面左下角、单位统一为</w:t>
            </w:r>
            <w:r>
              <w:rPr>
                <w:rFonts w:ascii="Times New Roman" w:hAnsi="Times New Roman" w:eastAsia="宋体" w:cs="宋体"/>
                <w:b w:val="0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b w:val="0"/>
                <w:color w:val="000000"/>
                <w:sz w:val="24"/>
              </w:rPr>
              <w:t xml:space="preserve">mm/pt、自动适配页面旋转），坐标与实际位置偏差≤2mm，确保我方后续可基于坐标完成序号气泡添加、位置修改等操作功能</w:t>
            </w:r>
          </w:p>
        </w:tc>
      </w:tr>
    </w:tbl>
    <w:bookmarkEnd w:id="12"/>
    <w:bookmarkStart w:id="13" w:name="功能要求"/>
    <w:p>
      <w:pPr>
        <w:pStyle w:val="3"/>
        <w:spacing w:line="312" w:lineRule="auto" w:before="60" w:after="60"/>
        <w:ind w:firstLine="0" w:left="0"/>
      </w:pPr>
      <w:r>
        <w:rPr>
          <w:rFonts w:hint="eastAsia" w:ascii="Times New Roman" w:hAnsi="Times New Roman" w:eastAsia="宋体" w:cs="宋体"/>
          <w:b/>
          <w:color w:val="000000"/>
          <w:sz w:val="36"/>
        </w:rPr>
        <w:t xml:space="preserve">功能要求</w:t>
      </w:r>
    </w:p>
    <w:p>
      <w:pPr>
        <w:pStyle w:val="CustomList"/>
        <w:numPr>
          <w:ilvl w:val="0"/>
          <w:numId w:val="1001"/>
        </w:numPr>
        <w:spacing w:line="312" w:lineRule="auto" w:before="0" w:after="0"/>
        <w:ind w:left="0" w:firstLine="480"/>
      </w:pPr>
    </w:p>
    <w:p>
      <w:pPr>
        <w:pStyle w:val="CustomList"/>
        <w:numPr>
          <w:ilvl w:val="1"/>
          <w:numId w:val="1002"/>
        </w:numPr>
        <w:spacing w:line="312" w:lineRule="auto" w:before="0" w:after="0"/>
        <w:ind w:left="0" w:firstLine="480"/>
      </w:pPr>
    </w:p>
    <w:p>
      <w:pPr>
        <w:pStyle w:val="CustomList"/>
        <w:numPr>
          <w:ilvl w:val="2"/>
          <w:numId w:val="100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标注与清单配套能力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坐标标准化输出</w:t>
      </w:r>
    </w:p>
    <w:p>
      <w:pPr>
        <w:pStyle w:val="CustomList"/>
        <w:numPr>
          <w:ilvl w:val="0"/>
          <w:numId w:val="100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所有标注统一输出一套完整坐标集：标注锚点、尺寸线起点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终点、公差文本包围盒、气泡引线坐标；统一坐标系原点、单位（mm）、旋转矫正参数，坐标偏移误差≤1pt，支持我方基于坐标自主修改序号、绘制气泡标注，第三方无需实现序号编辑功能。</w:t>
      </w:r>
    </w:p>
    <w:p>
      <w:pPr>
        <w:pStyle w:val="CustomList"/>
        <w:numPr>
          <w:ilvl w:val="0"/>
          <w:numId w:val="100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支持清单条目与图纸双向映射绑定，通过唯一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ID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关联坐标，支撑双击跳转定位功能数据底座。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多类型图纸兼容增强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兼容矢量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PDF、扫描件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PDF（300DPI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及以上）、DWG/DXF；支持老旧模糊图纸、轻微手写标注、多语言混合图纸（中英德）识别；图纸自动倾斜矫正、污渍遮挡区域标记。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数据导出结构化规范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识别结果统一输出标准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JSON，完整包含图纸元数据、清单条目、坐标、置信度、公差匹配结果；兼容我方插件直接解析，预留扩展字段用于后续对接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PLM/QMS。</w:t>
      </w:r>
    </w:p>
    <w:p>
      <w:pPr>
        <w:pStyle w:val="CustomList"/>
        <w:numPr>
          <w:ilvl w:val="1"/>
          <w:numId w:val="1006"/>
        </w:numPr>
        <w:spacing w:line="312" w:lineRule="auto" w:before="0" w:after="0"/>
        <w:ind w:left="0" w:firstLine="480"/>
      </w:pPr>
    </w:p>
    <w:p>
      <w:pPr>
        <w:pStyle w:val="CustomList"/>
        <w:numPr>
          <w:ilvl w:val="2"/>
          <w:numId w:val="1007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（二）接口集成配套功能（B/S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架构强制）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提供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RESTful HTTP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标准化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API，接口清单包含：图纸上传接口、任务查询接口、结果获取接口、标准库更新接口、批量任务管理接口；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接口支持鉴权、请求加密、传输加密，所有操作生成可追溯日志；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支持插件轻量化调用，无需客户端本地安装重型软件，适配平台嵌入式集成模式。</w:t>
      </w:r>
    </w:p>
    <w:p>
      <w:pPr>
        <w:pStyle w:val="CustomList"/>
        <w:numPr>
          <w:ilvl w:val="1"/>
          <w:numId w:val="1008"/>
        </w:numPr>
        <w:spacing w:line="312" w:lineRule="auto" w:before="0" w:after="0"/>
        <w:ind w:left="0" w:firstLine="480"/>
      </w:pPr>
    </w:p>
    <w:p>
      <w:pPr>
        <w:pStyle w:val="CustomList"/>
        <w:numPr>
          <w:ilvl w:val="2"/>
          <w:numId w:val="1009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（三）异常与复核配套功能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每条识别结果输出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0~100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分置信度，置信度＜80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分自动标记「人工复核项」，单独汇总输出复核清单；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识别失败、图纸损坏、加密图纸、模糊无法解析图纸返回标准化错误码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失败原因；</w:t>
      </w:r>
    </w:p>
    <w:p>
      <w:pPr>
        <w:pStyle w:val="CustomList"/>
        <w:numPr>
          <w:ilvl w:val="0"/>
          <w:numId w:val="100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支持局部遮挡、残缺图纸完成可识别区域解析，仅标记失效条目，不中断整张图纸识别流程。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（二）接口集成配套功能（B/S</w:t>
      </w:r>
      <w:r>
        <w:rPr>
          <w:rFonts w:ascii="Times New Roman" w:hAnsi="Times New Roman" w:eastAsia="宋体" w:cs="宋体"/>
          <w:b/>
          <w:bCs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架构强制）</w:t>
      </w:r>
    </w:p>
    <w:p>
      <w:pPr>
        <w:pStyle w:val="CustomList"/>
        <w:numPr>
          <w:ilvl w:val="0"/>
          <w:numId w:val="1010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提供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RESTful HTTP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标准化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API，接口清单包含：图纸上传接口、任务查询接口、结果获取接口、标准库更新接口、批量任务管理接口；</w:t>
      </w:r>
    </w:p>
    <w:p>
      <w:pPr>
        <w:pStyle w:val="CustomList"/>
        <w:numPr>
          <w:ilvl w:val="0"/>
          <w:numId w:val="1010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接口支持鉴权、请求加密、传输加密，所有操作生成可追溯日志；</w:t>
      </w:r>
    </w:p>
    <w:p>
      <w:pPr>
        <w:pStyle w:val="CustomList"/>
        <w:numPr>
          <w:ilvl w:val="0"/>
          <w:numId w:val="1010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支持插件轻量化调用，无需客户端本地安装重型软件，适配平台嵌入式集成模式。</w:t>
      </w:r>
    </w:p>
    <w:p>
      <w:pPr>
        <w:pStyle w:val="FirstParagraph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（三）异常与复核配套功能</w:t>
      </w:r>
    </w:p>
    <w:p>
      <w:pPr>
        <w:pStyle w:val="CustomList"/>
        <w:numPr>
          <w:ilvl w:val="0"/>
          <w:numId w:val="101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每条识别结果输出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0~100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分置信度，置信度＜80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分自动标记「人工复核项」，单独汇总输出复核清单；</w:t>
      </w:r>
    </w:p>
    <w:p>
      <w:pPr>
        <w:pStyle w:val="CustomList"/>
        <w:numPr>
          <w:ilvl w:val="0"/>
          <w:numId w:val="101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识别失败、图纸损坏、加密图纸、模糊无法解析图纸返回标准化错误码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失败原因；</w:t>
      </w:r>
    </w:p>
    <w:p>
      <w:pPr>
        <w:pStyle w:val="CustomList"/>
        <w:numPr>
          <w:ilvl w:val="0"/>
          <w:numId w:val="1011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支持局部遮挡、残缺图纸完成可识别区域解析，仅标记失效条目，不中断整张图纸识别流程。</w:t>
      </w:r>
    </w:p>
    <w:p>
      <w:pPr>
        <w:pStyle w:val="FirstParagraph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二、硬性性能指标要求（可量化验收）</w:t>
      </w:r>
    </w:p>
    <w:p>
      <w:pPr>
        <w:pStyle w:val="BodyText"/>
        <w:spacing w:line="312" w:lineRule="auto" w:before="0" w:after="0"/>
        <w:ind w:firstLine="0"/>
      </w:pPr>
      <w:r>
        <w:rPr>
          <w:rFonts w:ascii="Times New Roman" w:hAnsi="Times New Roman" w:eastAsia="宋体" w:cs="宋体"/>
          <w:b/>
          <w:bCs/>
          <w:color w:val="000000"/>
          <w:sz w:val="24"/>
        </w:rPr>
        <w:t xml:space="preserve">1. 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识别速度指标</w:t>
      </w:r>
    </w:p>
    <w:p>
      <w:pPr>
        <w:pStyle w:val="BodyText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1）单张图纸≤100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个尺寸标注：完整解析（含坐标提取、未注公差匹配、结构化清单生成）耗时≤3min；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2）单张图纸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100~300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个尺寸标注：解析耗时≤6min；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3）批量任务：并行处理，平均单张处理耗时不超过上限，排队延迟不超过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10min。</w:t>
      </w:r>
    </w:p>
    <w:p>
      <w:pPr>
        <w:pStyle w:val="BodyText"/>
        <w:spacing w:line="312" w:lineRule="auto" w:before="0" w:after="0"/>
        <w:ind w:firstLine="0"/>
      </w:pPr>
      <w:r>
        <w:rPr>
          <w:rFonts w:ascii="Times New Roman" w:hAnsi="Times New Roman" w:eastAsia="宋体" w:cs="宋体"/>
          <w:b/>
          <w:bCs/>
          <w:color w:val="000000"/>
          <w:sz w:val="24"/>
        </w:rPr>
        <w:t xml:space="preserve">2. 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并发承载指标</w:t>
      </w:r>
    </w:p>
    <w:p>
      <w:pPr>
        <w:pStyle w:val="BodyText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1）服务端支持</w:t>
      </w:r>
      <w:r>
        <w:rPr>
          <w:rFonts w:ascii="Times New Roman" w:hAnsi="Times New Roman" w:eastAsia="宋体" w:cs="宋体"/>
          <w:b/>
          <w:bCs/>
          <w:color w:val="000000"/>
          <w:sz w:val="24"/>
        </w:rPr>
        <w:t xml:space="preserve">30 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个并发用户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同时发起图纸识别请求；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2）高并发场景下无任务丢失、无数据错乱、接口响应超时率＜0.5%；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3）支持水平扩容，扩容后并发能力线性提升。</w:t>
      </w:r>
    </w:p>
    <w:p>
      <w:pPr>
        <w:pStyle w:val="BodyText"/>
        <w:spacing w:line="312" w:lineRule="auto" w:before="0" w:after="0"/>
        <w:ind w:firstLine="0"/>
      </w:pPr>
      <w:r>
        <w:rPr>
          <w:rFonts w:ascii="Times New Roman" w:hAnsi="Times New Roman" w:eastAsia="宋体" w:cs="宋体"/>
          <w:b/>
          <w:bCs/>
          <w:color w:val="000000"/>
          <w:sz w:val="24"/>
        </w:rPr>
        <w:t xml:space="preserve">3. 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稳定性指标</w:t>
      </w:r>
    </w:p>
    <w:p>
      <w:pPr>
        <w:pStyle w:val="BodyText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1）图纸加载、解析失败率≤1%；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2）7×24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小时连续运行，无内存泄漏、进程卡死；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3）批量任务中断后支持断点续跑，已识别数据不丢失。</w:t>
      </w:r>
    </w:p>
    <w:p>
      <w:pPr>
        <w:pStyle w:val="BodyText"/>
        <w:spacing w:line="312" w:lineRule="auto" w:before="0" w:after="0"/>
        <w:ind w:firstLine="0"/>
      </w:pPr>
      <w:r>
        <w:rPr>
          <w:rFonts w:ascii="Times New Roman" w:hAnsi="Times New Roman" w:eastAsia="宋体" w:cs="宋体"/>
          <w:b/>
          <w:bCs/>
          <w:color w:val="000000"/>
          <w:sz w:val="24"/>
        </w:rPr>
        <w:t xml:space="preserve">4. 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图纸文件兼容性能</w:t>
      </w:r>
    </w:p>
    <w:p>
      <w:pPr>
        <w:pStyle w:val="BodyText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1）支持单页图纸最大尺寸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A0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大图、多页图纸单次上传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200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页以内；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2）单文件上限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500MB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扫描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PDF、200MB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矢量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PDF/DWG，超大文件分片上传解析。</w:t>
      </w:r>
    </w:p>
    <w:p>
      <w:pPr>
        <w:pStyle w:val="BodyText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三、识别精度</w:t>
      </w:r>
      <w:r>
        <w:rPr>
          <w:rFonts w:ascii="Times New Roman" w:hAnsi="Times New Roman" w:eastAsia="宋体" w:cs="宋体"/>
          <w:b/>
          <w:bCs/>
          <w:color w:val="000000"/>
          <w:sz w:val="24"/>
        </w:rPr>
        <w:t xml:space="preserve"> &amp; </w:t>
      </w: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准确率硬性指标（验收核心）</w:t>
      </w:r>
    </w:p>
    <w:p>
      <w:pPr>
        <w:pStyle w:val="BodyText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整体图纸识别综合准确率≥90%（以人工全检标注清单为基准），分层细化约束：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图纸全局关键字段（产品名称、图纸号、版本、页码、图幅区域）识别准确率≥95%，不允许关键信息错漏；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标准打印体尺寸、数值、公差、螺纹规格识别准确率≥92%；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形位公差符号、粗糙度、焊接符号识别准确率≥91%；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清晰手写补充标注、老旧褪色图纸识别准确率≥85%，低置信度条目强制标记复核；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坐标点位精度：标注文本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引线坐标与图纸实际位置偏差≤1pt，满足我方序号绘制、双向定位使用；</w:t>
      </w:r>
    </w:p>
    <w:p>
      <w:pPr>
        <w:pStyle w:val="CustomList"/>
        <w:numPr>
          <w:ilvl w:val="0"/>
          <w:numId w:val="1012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未注公差自动匹配正确率≥98%，标准匹配无错配、漏配。</w:t>
      </w:r>
    </w:p>
    <w:p>
      <w:pPr>
        <w:pStyle w:val="FirstParagraph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四、安全、日志、可运维补充指标</w:t>
      </w:r>
    </w:p>
    <w:p>
      <w:pPr>
        <w:pStyle w:val="CustomList"/>
        <w:numPr>
          <w:ilvl w:val="0"/>
          <w:numId w:val="101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全链路日志：图纸上传、识别、接口调用、数据查询全流程生成操作日志，包含账号、时间、图纸编号、操作内容，日志留存≥180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天；</w:t>
      </w:r>
    </w:p>
    <w:p>
      <w:pPr>
        <w:pStyle w:val="CustomList"/>
        <w:numPr>
          <w:ilvl w:val="0"/>
          <w:numId w:val="101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敏感图纸数据传输、存储加密，满足审计与数据安全要求；</w:t>
      </w:r>
    </w:p>
    <w:p>
      <w:pPr>
        <w:pStyle w:val="CustomList"/>
        <w:numPr>
          <w:ilvl w:val="0"/>
          <w:numId w:val="101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提供备份恢复能力，识别任务缓存、标准库配置支持一键备份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还原；</w:t>
      </w:r>
    </w:p>
    <w:p>
      <w:pPr>
        <w:pStyle w:val="CustomList"/>
        <w:numPr>
          <w:ilvl w:val="0"/>
          <w:numId w:val="1013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支持监控指标输出：并发量、任务耗时、识别失败率、低置信条目占比，便于运维监控。</w:t>
      </w:r>
    </w:p>
    <w:p>
      <w:pPr>
        <w:pStyle w:val="FirstParagraph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五、部署集成配套指标</w:t>
      </w:r>
    </w:p>
    <w:p>
      <w:pPr>
        <w:pStyle w:val="CustomList"/>
        <w:numPr>
          <w:ilvl w:val="0"/>
          <w:numId w:val="1014"/>
        </w:numPr>
        <w:spacing w:line="312" w:lineRule="auto" w:before="0" w:after="0"/>
        <w:ind w:left="0" w:firstLine="480"/>
      </w:pP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B/S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架构场景：提供全套网络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API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接口文档、调用示例，支持我方平台插件无侵入集成；</w:t>
      </w:r>
    </w:p>
    <w:p>
      <w:pPr>
        <w:pStyle w:val="CustomList"/>
        <w:numPr>
          <w:ilvl w:val="0"/>
          <w:numId w:val="101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本地部署场景：提供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SDK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本地调用接口，支持分布式、多租户集中部署模式；</w:t>
      </w:r>
    </w:p>
    <w:p>
      <w:pPr>
        <w:pStyle w:val="CustomList"/>
        <w:numPr>
          <w:ilvl w:val="0"/>
          <w:numId w:val="101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标准库可离线更新，无需联网即可导入新版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ISO/GB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公差标准；</w:t>
      </w:r>
    </w:p>
    <w:p>
      <w:pPr>
        <w:pStyle w:val="CustomList"/>
        <w:numPr>
          <w:ilvl w:val="0"/>
          <w:numId w:val="1014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识别输出数据预留扩展字段，可无缝对接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PLM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图纸拉取、QMS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检验方案同步业务链路。</w:t>
      </w:r>
    </w:p>
    <w:p>
      <w:pPr>
        <w:pStyle w:val="FirstParagraph"/>
        <w:spacing w:line="312" w:lineRule="auto" w:before="0" w:after="0"/>
        <w:ind w:firstLine="0"/>
      </w:pPr>
      <w:r>
        <w:rPr>
          <w:rFonts w:hint="eastAsia" w:ascii="Times New Roman" w:hAnsi="Times New Roman" w:eastAsia="宋体" w:cs="宋体"/>
          <w:b/>
          <w:bCs/>
          <w:color w:val="000000"/>
          <w:sz w:val="24"/>
        </w:rPr>
        <w:t xml:space="preserve">六、验收判定标准</w:t>
      </w:r>
    </w:p>
    <w:p>
      <w:pPr>
        <w:pStyle w:val="BodyText"/>
        <w:spacing w:line="312" w:lineRule="auto" w:before="0" w:after="0"/>
        <w:ind w:firstLine="480" w:left="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同时满足以下全部条件视为该模块达标：</w:t>
      </w:r>
    </w:p>
    <w:p>
      <w:pPr>
        <w:pStyle w:val="CustomList"/>
        <w:numPr>
          <w:ilvl w:val="0"/>
          <w:numId w:val="101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随机抽取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张覆盖各类图纸（扫描件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CAD、新旧图纸、多标准、多图幅），综合识别准确率≥90%；</w:t>
      </w:r>
    </w:p>
    <w:p>
      <w:pPr>
        <w:pStyle w:val="CustomList"/>
        <w:numPr>
          <w:ilvl w:val="0"/>
          <w:numId w:val="1015"/>
        </w:numPr>
        <w:spacing w:line="312" w:lineRule="auto" w:before="0" w:after="0"/>
        <w:ind w:left="0" w:firstLine="480"/>
      </w:pP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100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尺寸以内图纸解析耗时≤3min，30</w:t>
      </w: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并发稳定运行无报错；</w:t>
      </w:r>
    </w:p>
    <w:p>
      <w:pPr>
        <w:pStyle w:val="CustomList"/>
        <w:numPr>
          <w:ilvl w:val="0"/>
          <w:numId w:val="101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图纸加载失败率≤1%，坐标偏移≤1pt；</w:t>
      </w:r>
    </w:p>
    <w:p>
      <w:pPr>
        <w:pStyle w:val="CustomList"/>
        <w:numPr>
          <w:ilvl w:val="0"/>
          <w:numId w:val="1015"/>
        </w:numPr>
        <w:spacing w:line="312" w:lineRule="auto" w:before="0" w:after="0"/>
        <w:ind w:left="0" w:firstLine="480"/>
      </w:pP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完整输出全部要求字段、坐标、置信度、公差匹配数据；</w:t>
      </w:r>
    </w:p>
    <w:p>
      <w:pPr>
        <w:pStyle w:val="CustomList"/>
        <w:numPr>
          <w:ilvl w:val="0"/>
          <w:numId w:val="1015"/>
        </w:numPr>
        <w:spacing w:line="312" w:lineRule="auto" w:before="0" w:after="0"/>
        <w:ind w:left="0" w:firstLine="480"/>
      </w:pPr>
      <w:r>
        <w:rPr>
          <w:rFonts w:ascii="Times New Roman" w:hAnsi="Times New Roman" w:eastAsia="宋体" w:cs="宋体"/>
          <w:b w:val="0"/>
          <w:color w:val="000000"/>
          <w:sz w:val="24"/>
        </w:rPr>
        <w:t xml:space="preserve">API/SDK </w:t>
      </w:r>
      <w:r>
        <w:rPr>
          <w:rFonts w:hint="eastAsia" w:ascii="Times New Roman" w:hAnsi="Times New Roman" w:eastAsia="宋体" w:cs="宋体"/>
          <w:b w:val="0"/>
          <w:color w:val="000000"/>
          <w:sz w:val="24"/>
        </w:rPr>
        <w:t xml:space="preserve">可稳定对接我方平台插件，批量、版本对比、日志加密功能全部可用。</w:t>
      </w:r>
    </w:p>
    <w:bookmarkEnd w:id="13"/>
    <w:bookmarkEnd w:id="14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+西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bordersDoNotSurroundHeader w:val="1"/>
  <w:bordersDoNotSurroundFooter w:val="1"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  <w:rsid w:val="0B8C4362"/>
    <w:rsid w:val="0EA342F1"/>
    <w:rsid w:val="1CEE577F"/>
    <w:rsid w:val="29FD6B7B"/>
    <w:rsid w:val="58A933A3"/>
    <w:rsid w:val="73BB237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line="312" w:lineRule="auto" w:before="0" w:after="0"/>
      <w:ind w:firstLineChars="200" w:firstLine="480" w:left="0"/>
    </w:pPr>
    <w:rPr>
      <w:rFonts w:ascii="Times New Roman" w:eastAsia="宋体" w:hAnsi="Times New Roman" w:cs="宋体"/>
      <w:b w:val="0"/>
      <w:color w:val="000000"/>
      <w:kern w:val="2"/>
      <w:sz w:val="24"/>
      <w:szCs w:val="24"/>
      <w:lang w:bidi="ar-SA" w:eastAsia="zh-CN" w:val="en-US"/>
      <w14:ligatures w14:val="standardContextual"/>
    </w:rPr>
  </w:style>
  <w:style w:styleId="2" w:type="paragraph">
    <w:name w:val="heading 1"/>
    <w:next w:val="1"/>
    <w:link w:val="16"/>
    <w:qFormat/>
    <w:uiPriority w:val="9"/>
    <w:pPr>
      <w:keepNext/>
      <w:keepLines/>
      <w:spacing w:after="60" w:before="60" w:line="312" w:lineRule="auto"/>
      <w:ind w:firstLine="0" w:left="0"/>
      <w:outlineLvl w:val="0"/>
    </w:pPr>
    <w:rPr>
      <w:rFonts w:ascii="Times New Roman" w:eastAsia="宋体" w:hAnsi="Times New Roman" w:cs="宋体"/>
      <w:b/>
      <w:color w:val="000000"/>
      <w:sz w:val="40"/>
      <w:szCs w:val="48"/>
      <w14:textFill>
        <w14:solidFill>
          <w14:schemeClr w14:val="tx1"/>
        </w14:solidFill>
      </w14:textFill>
    </w:rPr>
  </w:style>
  <w:style w:styleId="3" w:type="paragraph">
    <w:name w:val="heading 2"/>
    <w:next w:val="1"/>
    <w:link w:val="17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1"/>
    </w:pPr>
    <w:rPr>
      <w:rFonts w:ascii="Times New Roman" w:eastAsia="宋体" w:hAnsi="Times New Roman" w:cs="宋体"/>
      <w:b/>
      <w:color w:val="000000"/>
      <w:sz w:val="36"/>
      <w:szCs w:val="40"/>
      <w14:textFill>
        <w14:solidFill>
          <w14:schemeClr w14:val="tx1"/>
        </w14:solidFill>
      </w14:textFill>
    </w:rPr>
  </w:style>
  <w:style w:styleId="4" w:type="paragraph">
    <w:name w:val="heading 3"/>
    <w:next w:val="1"/>
    <w:link w:val="18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2"/>
    </w:pPr>
    <w:rPr>
      <w:rFonts w:ascii="Times New Roman" w:eastAsia="宋体" w:hAnsi="Times New Roman" w:cs="宋体"/>
      <w:b/>
      <w:color w:val="000000"/>
      <w:sz w:val="32"/>
      <w:szCs w:val="32"/>
      <w14:textFill>
        <w14:solidFill>
          <w14:schemeClr w14:val="tx1"/>
        </w14:solidFill>
      </w14:textFill>
    </w:rPr>
  </w:style>
  <w:style w:styleId="5" w:type="paragraph">
    <w:name w:val="heading 4"/>
    <w:next w:val="1"/>
    <w:link w:val="19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3"/>
    </w:pPr>
    <w:rPr>
      <w:rFonts w:ascii="Times New Roman" w:eastAsia="宋体" w:hAnsi="Times New Roman" w:cs="宋体"/>
      <w:b/>
      <w:color w:val="000000"/>
      <w:sz w:val="28"/>
      <w:szCs w:val="28"/>
      <w14:textFill>
        <w14:solidFill>
          <w14:schemeClr w14:val="tx1"/>
        </w14:solidFill>
      </w14:textFill>
    </w:rPr>
  </w:style>
  <w:style w:styleId="6" w:type="paragraph">
    <w:name w:val="heading 5"/>
    <w:basedOn w:val="1"/>
    <w:next w:val="1"/>
    <w:link w:val="20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4"/>
    </w:pPr>
    <w:rPr>
      <w:rFonts w:ascii="Times New Roman" w:hAnsi="Times New Roman" w:eastAsia="宋体" w:cs="宋体"/>
      <w:b/>
      <w:color w:val="000000"/>
      <w:sz w:val="24"/>
    </w:rPr>
  </w:style>
  <w:style w:styleId="7" w:type="paragraph">
    <w:name w:val="heading 6"/>
    <w:basedOn w:val="1"/>
    <w:next w:val="1"/>
    <w:link w:val="21"/>
    <w:semiHidden/>
    <w:unhideWhenUsed/>
    <w:qFormat/>
    <w:uiPriority w:val="9"/>
    <w:pPr>
      <w:keepNext/>
      <w:keepLines/>
      <w:spacing w:after="60" w:before="60" w:line="312" w:lineRule="auto"/>
      <w:ind w:firstLine="0" w:left="0"/>
      <w:outlineLvl w:val="5"/>
    </w:pPr>
    <w:rPr>
      <w:rFonts w:ascii="Times New Roman" w:hAnsi="Times New Roman" w:eastAsia="宋体" w:cs="宋体"/>
      <w:b/>
      <w:bCs/>
      <w:color w:val="000000"/>
      <w:sz w:val="24"/>
    </w:rPr>
  </w:style>
  <w:style w:default="1" w:styleId="15" w:type="character">
    <w:name w:val="Default Paragraph Font"/>
    <w:semiHidden/>
    <w:unhideWhenUsed/>
    <w:qFormat/>
    <w:uiPriority w:val="1"/>
  </w:style>
  <w:style w:default="1" w:styleId="13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14" w:type="table">
    <w:name w:val="Table Grid"/>
    <w:basedOn w:val="13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9" w:type="paragraph">
    <w:name w:val="List Paragraph"/>
    <w:basedOn w:val="1"/>
    <w:qFormat/>
    <w:uiPriority w:val="34"/>
    <w:pPr>
      <w:spacing w:line="312" w:lineRule="auto" w:before="0" w:after="0"/>
      <w:ind w:left="0" w:firstLine="0"/>
      <w:contextualSpacing/>
    </w:pPr>
    <w:rPr>
      <w:rFonts w:ascii="Times New Roman" w:hAnsi="Times New Roman" w:eastAsia="宋体" w:cs="宋体"/>
      <w:b w:val="0"/>
      <w:color w:val="000000"/>
      <w:sz w:val="24"/>
    </w:rPr>
  </w:style>
  <w:style w:customStyle="1" w:styleId="34" w:type="paragraph">
    <w:name w:val="Source Code"/>
    <w:uiPriority w:val="0"/>
    <w:pPr>
      <w:wordWrap w:val="0"/>
      <w:spacing w:after="160" w:line="278" w:lineRule="auto"/>
    </w:pPr>
    <w:rPr>
      <w:rFonts w:asciiTheme="minorHAnsi" w:cstheme="minorBidi" w:eastAsiaTheme="minorEastAsia" w:hAnsiTheme="minorHAnsi"/>
      <w:kern w:val="2"/>
      <w:sz w:val="22"/>
      <w:szCs w:val="24"/>
      <w:lang w:bidi="ar-SA" w:eastAsia="zh-CN" w:val="en-US"/>
      <w14:ligatures w14:val="standardContextual"/>
    </w:rPr>
  </w:style>
  <w:style w:customStyle="1" w:styleId="66" w:type="table">
    <w:name w:val="Table"/>
    <w:basedOn w:val="13"/>
    <w:uiPriority w:val="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  <w:style w:type="paragraph" w:customStyle="1" w:styleId="CustomList">
    <w:name w:val="Custom List"/>
    <w:pPr>
      <w:spacing w:line="312" w:lineRule="auto" w:before="0" w:after="0"/>
      <w:ind w:firstLine="48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TableText">
    <w:name w:val="Table Text"/>
    <w:pPr>
      <w:spacing w:line="240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ImageParagraph">
    <w:name w:val="Image Paragraph"/>
    <w:pPr>
      <w:spacing w:line="312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CodeBlock">
    <w:name w:val="Code Block"/>
    <w:pPr>
      <w:spacing w:line="240" w:lineRule="auto" w:before="0" w:after="0"/>
      <w:ind w:firstLine="0" w:left="480"/>
      <w:shd w:val="clear" w:fill="000000"/>
    </w:pPr>
    <w:rPr>
      <w:rFonts w:ascii="Times New Roman" w:hAnsi="Times New Roman" w:eastAsia="宋体" w:cs="宋体"/>
      <w:b w:val="0"/>
      <w:color w:val="FFFFFF"/>
      <w:sz w:val="21"/>
    </w:rPr>
  </w:style>
  <w:style w:type="paragraph" w:customStyle="1" w:styleId="TableofContents1">
    <w:name w:val="Table of Contents 1"/>
    <w:pPr>
      <w:spacing w:line="240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TableofContents2">
    <w:name w:val="Table of Contents 2"/>
    <w:pPr>
      <w:spacing w:line="240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  <w:style w:type="paragraph" w:customStyle="1" w:styleId="TableofContents3">
    <w:name w:val="Table of Contents 3"/>
    <w:pPr>
      <w:spacing w:line="240" w:lineRule="auto" w:before="0" w:after="0"/>
      <w:ind w:firstLine="0" w:left="0"/>
    </w:pPr>
    <w:rPr>
      <w:rFonts w:ascii="Times New Roman" w:hAnsi="Times New Roman" w:eastAsia="宋体" w:cs="宋体"/>
      <w:b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Users\bw\Downloads\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2026-07-16T08:01:59Z</dcterms:created>
  <dcterms:modified xsi:type="dcterms:W3CDTF">2026-07-16T08:01:59Z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