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44767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00"/>
        <w:jc w:val="center"/>
      </w:pPr>
      <w:r>
        <w:rPr>
          <w:rFonts w:ascii="Poppins" w:cs="Poppins" w:eastAsia="Poppins" w:hAnsi="Poppins"/>
          <w:b/>
          <w:bCs/>
          <w:color w:val="071C89"/>
          <w:sz w:val="52"/>
          <w:szCs w:val="52"/>
        </w:rPr>
        <w:t xml:space="preserve">MANUAL DE MARCA</w:t>
      </w:r>
    </w:p>
    <w:p>
      <w:pPr>
        <w:spacing w:before="80"/>
        <w:jc w:val="center"/>
      </w:pPr>
      <w:r>
        <w:rPr>
          <w:rFonts w:ascii="Poppins" w:cs="Poppins" w:eastAsia="Poppins" w:hAnsi="Poppins"/>
          <w:b/>
          <w:bCs/>
          <w:color w:val="B910C3"/>
          <w:sz w:val="40"/>
          <w:szCs w:val="40"/>
        </w:rPr>
        <w:t xml:space="preserve">&amp; DESIGN SYSTEM</w:t>
      </w:r>
    </w:p>
    <w:p>
      <w:pPr>
        <w:spacing w:before="400"/>
        <w:jc w:val="center"/>
      </w:pPr>
      <w:r>
        <w:rPr>
          <w:rFonts w:ascii="Inter" w:cs="Inter" w:eastAsia="Inter" w:hAnsi="Inter"/>
          <w:color w:val="5B6472"/>
          <w:sz w:val="24"/>
          <w:szCs w:val="24"/>
        </w:rPr>
        <w:t xml:space="preserve">SA Tech — Special Automation</w:t>
      </w:r>
    </w:p>
    <w:p>
      <w:pPr>
        <w:spacing w:before="100"/>
        <w:jc w:val="center"/>
      </w:pPr>
      <w:r>
        <w:rPr>
          <w:rFonts w:ascii="Inter" w:cs="Inter" w:eastAsia="Inter" w:hAnsi="Inter"/>
          <w:i/>
          <w:iCs/>
          <w:color w:val="5B6472"/>
          <w:sz w:val="20"/>
          <w:szCs w:val="20"/>
        </w:rPr>
        <w:t xml:space="preserve">Versão 1.0 · Agosto de 2026</w:t>
      </w:r>
    </w:p>
    <w:p>
      <w:r>
        <w:br w:type="page"/>
      </w:r>
    </w:p>
    <w:p>
      <w:pPr>
        <w:spacing w:after="240"/>
      </w:pPr>
      <w:r>
        <w:rPr>
          <w:rFonts w:ascii="Poppins" w:cs="Poppins" w:eastAsia="Poppins" w:hAnsi="Poppins"/>
          <w:b/>
          <w:bCs/>
          <w:color w:val="071C8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900" w:right="1100" w:bottom="9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910C3" w:sz="12" w:space="6"/>
        </w:pBdr>
        <w:spacing w:after="240" w:before="480"/>
      </w:pPr>
      <w:r>
        <w:rPr>
          <w:rFonts w:ascii="Poppins" w:cs="Poppins" w:eastAsia="Poppins" w:hAnsi="Poppins"/>
          <w:b/>
          <w:bCs/>
          <w:color w:val="071C89"/>
        </w:rPr>
        <w:t xml:space="preserve">1. Sobre a Marca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A SA Tech é uma empresa de automação e inteligência de dados que transforma processos manuais em sistemas conectados e eficientes. A identidade visual precisa comunicar precisão técnica com energia — o equilíbrio entre a solidez do azul profundo e a inovação do magenta que atravessa o logotipo.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Essência da marca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Precisão — cada elemento visual tem função, nada é decorativo por acaso.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Movimento — a curva do logo representa automação e fluxo contínuo de dados.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Confiança — paleta escura e tipografia sólida transmitem solidez técnica.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Modernidade — gradientes e contraste alto para um visual tech, não corporativo genérico.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Tom de voz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Direto, técnico sem ser hermético, e orientado a resultado. Evite jargão vazio; prefira frases curtas que expliquem o ganho prático (tempo, custo, escala) de cada solução.</w:t>
      </w:r>
    </w:p>
    <w:p>
      <w:pPr>
        <w:pStyle w:val="Heading1"/>
        <w:pBdr>
          <w:bottom w:val="single" w:color="B910C3" w:sz="12" w:space="6"/>
        </w:pBdr>
        <w:spacing w:after="240" w:before="480"/>
      </w:pPr>
      <w:r>
        <w:rPr>
          <w:rFonts w:ascii="Poppins" w:cs="Poppins" w:eastAsia="Poppins" w:hAnsi="Poppins"/>
          <w:b/>
          <w:bCs/>
          <w:color w:val="071C89"/>
        </w:rPr>
        <w:t xml:space="preserve">2. Logotipo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O logo é composto por um símbolo circuito-orbital em gradiente azul-magenta, seguido do wordmark 'SA TECH.' em duas cores: 'SA' no gradiente da marca e 'TECH.' em tinta escura (quase preta).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rFonts w:ascii="Inter" w:cs="Inter" w:eastAsia="Inter" w:hAnsi="Inter"/>
          <w:i/>
          <w:iCs/>
          <w:color w:val="5B6472"/>
          <w:sz w:val="18"/>
          <w:szCs w:val="18"/>
        </w:rPr>
        <w:t xml:space="preserve">Versão principal do logotipo, sobre fundo claro.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Área de proteção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Mantenha ao redor do logo um espaço livre equivalente à altura da letra 'S' do símbolo. Nenhum texto, imagem ou borda deve invadir essa área.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Tamanho mínimo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Para mídias digitais, não reduza o logo a menos de 120px de largura. Para impressos, não menos que 3 cm de largura — abaixo disso, o detalhe do circuito no símbolo se perde.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Versões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Principal — colorida, sobre fundo claro/branco (uso padrão).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Reversa — símbolo e wordmark em branco, para uso sobre fundos escuros ou fotografias.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Monocromática — 100% tinta escura (INK), para aplicações de baixo custo ou carimbos.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c>
          <w:tcPr>
            <w:tcW w:type="dxa" w:w="4250"/>
            <w:shd w:fill="EAF7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✓  Usar o logo principal sobre fundos claros e neutros.</w:t>
            </w:r>
          </w:p>
        </w:tc>
        <w:tc>
          <w:tcPr>
            <w:tcW w:type="dxa" w:w="4250"/>
            <w:shd w:fill="FBEA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✗  Aplicar sombras, contornos ou efeitos 3D sobre o logo.</w:t>
            </w:r>
          </w:p>
        </w:tc>
      </w:tr>
      <w:tr>
        <w:tc>
          <w:tcPr>
            <w:tcW w:type="dxa" w:w="4250"/>
            <w:shd w:fill="EAF7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✓  Respeitar a área de proteção mínima ao redor.</w:t>
            </w:r>
          </w:p>
        </w:tc>
        <w:tc>
          <w:tcPr>
            <w:tcW w:type="dxa" w:w="4250"/>
            <w:shd w:fill="FBEA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✗  Esticar, distorcer ou girar o logotipo.</w:t>
            </w:r>
          </w:p>
        </w:tc>
      </w:tr>
      <w:tr>
        <w:tc>
          <w:tcPr>
            <w:tcW w:type="dxa" w:w="4250"/>
            <w:shd w:fill="EAF7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✓  Usar a versão reversa (branca) sobre fundos escuros.</w:t>
            </w:r>
          </w:p>
        </w:tc>
        <w:tc>
          <w:tcPr>
            <w:tcW w:type="dxa" w:w="4250"/>
            <w:shd w:fill="FBEA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✗  Recolorir o gradiente do símbolo com outras cores.</w:t>
            </w:r>
          </w:p>
        </w:tc>
      </w:tr>
    </w:tbl>
    <w:p>
      <w:pPr>
        <w:pStyle w:val="Heading1"/>
        <w:pBdr>
          <w:bottom w:val="single" w:color="B910C3" w:sz="12" w:space="6"/>
        </w:pBdr>
        <w:spacing w:after="240" w:before="480"/>
      </w:pPr>
      <w:r>
        <w:rPr>
          <w:rFonts w:ascii="Poppins" w:cs="Poppins" w:eastAsia="Poppins" w:hAnsi="Poppins"/>
          <w:b/>
          <w:bCs/>
          <w:color w:val="071C89"/>
        </w:rPr>
        <w:t xml:space="preserve">3. Paleta de Cores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A paleta nasce diretamente do gradiente do logotipo. As cores primárias carregam a identidade principal; as de apoio dão suporte a fundos, gráficos e estados de interface.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Cores primárias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200"/>
      </w:tblGrid>
      <w:tr>
        <w:trPr>
          <w:tblHeader/>
        </w:trPr>
        <w:tc>
          <w:tcPr>
            <w:tcW w:type="dxa" w:w="17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6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Nome / Hex</w:t>
            </w:r>
          </w:p>
        </w:tc>
        <w:tc>
          <w:tcPr>
            <w:tcW w:type="dxa" w:w="42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Uso recomendado</w:t>
            </w:r>
          </w:p>
        </w:tc>
      </w:tr>
      <w:tr>
        <w:tc>
          <w:tcPr>
            <w:tcW w:type="dxa" w:w="1700"/>
            <w:shd w:fill="071C89" w:val="clear"/>
            <w:tcMar>
              <w:top w:type="dxa" w:w="200"/>
              <w:bottom w:type="dxa" w:w="2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91C21"/>
                <w:sz w:val="20"/>
                <w:szCs w:val="20"/>
              </w:rPr>
              <w:t xml:space="preserve">Azul SA Tech</w:t>
            </w:r>
          </w:p>
          <w:p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#071C89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Cor de destaque principal. Títulos, ícones, elementos de navegação e CTAs primários.</w:t>
            </w:r>
          </w:p>
        </w:tc>
      </w:tr>
      <w:tr>
        <w:tc>
          <w:tcPr>
            <w:tcW w:type="dxa" w:w="1700"/>
            <w:shd w:fill="B910C3" w:val="clear"/>
            <w:tcMar>
              <w:top w:type="dxa" w:w="200"/>
              <w:bottom w:type="dxa" w:w="2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91C21"/>
                <w:sz w:val="20"/>
                <w:szCs w:val="20"/>
              </w:rPr>
              <w:t xml:space="preserve">Magenta SA Tech</w:t>
            </w:r>
          </w:p>
          <w:p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#B910C3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Segunda cor de identidade. Detalhes, links, acentos e CTAs secundários.</w:t>
            </w:r>
          </w:p>
        </w:tc>
      </w:tr>
    </w:tbl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Cores de apoio (gradiente suave)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200"/>
      </w:tblGrid>
      <w:tr>
        <w:trPr>
          <w:tblHeader/>
        </w:trPr>
        <w:tc>
          <w:tcPr>
            <w:tcW w:type="dxa" w:w="17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6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Nome / Hex</w:t>
            </w:r>
          </w:p>
        </w:tc>
        <w:tc>
          <w:tcPr>
            <w:tcW w:type="dxa" w:w="42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Uso recomendado</w:t>
            </w:r>
          </w:p>
        </w:tc>
      </w:tr>
      <w:tr>
        <w:tc>
          <w:tcPr>
            <w:tcW w:type="dxa" w:w="1700"/>
            <w:shd w:fill="9DBCF2" w:val="clear"/>
            <w:tcMar>
              <w:top w:type="dxa" w:w="200"/>
              <w:bottom w:type="dxa" w:w="2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91C21"/>
                <w:sz w:val="20"/>
                <w:szCs w:val="20"/>
              </w:rPr>
              <w:t xml:space="preserve">Azul Suave</w:t>
            </w:r>
          </w:p>
          <w:p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#9DBCF2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Fundos de slide, cards e seções claras — ponto inicial do gradiente de fundo.</w:t>
            </w:r>
          </w:p>
        </w:tc>
      </w:tr>
      <w:tr>
        <w:tc>
          <w:tcPr>
            <w:tcW w:type="dxa" w:w="1700"/>
            <w:shd w:fill="CD96E9" w:val="clear"/>
            <w:tcMar>
              <w:top w:type="dxa" w:w="200"/>
              <w:bottom w:type="dxa" w:w="2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91C21"/>
                <w:sz w:val="20"/>
                <w:szCs w:val="20"/>
              </w:rPr>
              <w:t xml:space="preserve">Lilás Suave</w:t>
            </w:r>
          </w:p>
          <w:p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#CD96E9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Fundos de slide, cards e seções claras — ponto final do gradiente de fundo.</w:t>
            </w:r>
          </w:p>
        </w:tc>
      </w:tr>
    </w:tbl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Neutros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200"/>
      </w:tblGrid>
      <w:tr>
        <w:trPr>
          <w:tblHeader/>
        </w:trPr>
        <w:tc>
          <w:tcPr>
            <w:tcW w:type="dxa" w:w="17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6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Nome / Hex</w:t>
            </w:r>
          </w:p>
        </w:tc>
        <w:tc>
          <w:tcPr>
            <w:tcW w:type="dxa" w:w="42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Uso recomendado</w:t>
            </w:r>
          </w:p>
        </w:tc>
      </w:tr>
      <w:tr>
        <w:tc>
          <w:tcPr>
            <w:tcW w:type="dxa" w:w="1700"/>
            <w:shd w:fill="191C21" w:val="clear"/>
            <w:tcMar>
              <w:top w:type="dxa" w:w="200"/>
              <w:bottom w:type="dxa" w:w="2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91C21"/>
                <w:sz w:val="20"/>
                <w:szCs w:val="20"/>
              </w:rPr>
              <w:t xml:space="preserve">Tinta (texto)</w:t>
            </w:r>
          </w:p>
          <w:p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#191C21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Texto principal, títulos sobre fundo claro, wordmark 'TECH.'</w:t>
            </w:r>
          </w:p>
        </w:tc>
      </w:tr>
      <w:tr>
        <w:tc>
          <w:tcPr>
            <w:tcW w:type="dxa" w:w="1700"/>
            <w:shd w:fill="5B6472" w:val="clear"/>
            <w:tcMar>
              <w:top w:type="dxa" w:w="200"/>
              <w:bottom w:type="dxa" w:w="2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91C21"/>
                <w:sz w:val="20"/>
                <w:szCs w:val="20"/>
              </w:rPr>
              <w:t xml:space="preserve">Cinza texto secundário</w:t>
            </w:r>
          </w:p>
          <w:p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#5B6472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Legendas, texto de apoio, metadados.</w:t>
            </w:r>
          </w:p>
        </w:tc>
      </w:tr>
      <w:tr>
        <w:tc>
          <w:tcPr>
            <w:tcW w:type="dxa" w:w="1700"/>
            <w:shd w:fill="D9DCE3" w:val="clear"/>
            <w:tcMar>
              <w:top w:type="dxa" w:w="200"/>
              <w:bottom w:type="dxa" w:w="2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91C21"/>
                <w:sz w:val="20"/>
                <w:szCs w:val="20"/>
              </w:rPr>
              <w:t xml:space="preserve">Cinza linha</w:t>
            </w:r>
          </w:p>
          <w:p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#D9DCE3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Bordas, divisores, campos desabilitados.</w:t>
            </w:r>
          </w:p>
        </w:tc>
      </w:tr>
      <w:tr>
        <w:tc>
          <w:tcPr>
            <w:tcW w:type="dxa" w:w="1700"/>
            <w:shd w:fill="F5F4F9" w:val="clear"/>
            <w:tcMar>
              <w:top w:type="dxa" w:w="200"/>
              <w:bottom w:type="dxa" w:w="2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91C21"/>
                <w:sz w:val="20"/>
                <w:szCs w:val="20"/>
              </w:rPr>
              <w:t xml:space="preserve">Cinza-branco fundo</w:t>
            </w:r>
          </w:p>
          <w:p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#F5F4F9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Fundo alternativo neutro para seções e tabelas.</w:t>
            </w:r>
          </w:p>
        </w:tc>
      </w:tr>
      <w:tr>
        <w:tc>
          <w:tcPr>
            <w:tcW w:type="dxa" w:w="1700"/>
            <w:shd w:fill="FFFFFF" w:val="clear"/>
            <w:tcMar>
              <w:top w:type="dxa" w:w="200"/>
              <w:bottom w:type="dxa" w:w="2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91C21"/>
                <w:sz w:val="20"/>
                <w:szCs w:val="20"/>
              </w:rPr>
              <w:t xml:space="preserve">Branco</w:t>
            </w:r>
          </w:p>
          <w:p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#FFFFFF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Fundo padrão, texto sobre cores escuras.</w:t>
            </w:r>
          </w:p>
        </w:tc>
      </w:tr>
    </w:tbl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Proporção de uso (regra 60-30-10)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60% neutros (branco / cinza-branco) — respiro visual.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30% azul SA Tech — estrutura, títulos, blocos principais.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10% magenta SA Tech — destaque, CTA, ponto focal.</w:t>
      </w:r>
    </w:p>
    <w:p>
      <w:pPr>
        <w:pStyle w:val="Heading1"/>
        <w:pBdr>
          <w:bottom w:val="single" w:color="B910C3" w:sz="12" w:space="6"/>
        </w:pBdr>
        <w:spacing w:after="240" w:before="480"/>
      </w:pPr>
      <w:r>
        <w:rPr>
          <w:rFonts w:ascii="Poppins" w:cs="Poppins" w:eastAsia="Poppins" w:hAnsi="Poppins"/>
          <w:b/>
          <w:bCs/>
          <w:color w:val="071C89"/>
        </w:rPr>
        <w:t xml:space="preserve">4. Tipografia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Como a marca ainda não tinha fontes definidas, a escolha abaixo segue a personalidade tech/geométrica do símbolo do logo. Ambas são gratuitas (Google Fonts) e têm excelente suporte em PowerPoint, Word e Web.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Fonte de títulos — Poppins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Geométrica, moderna e com boa presença em títulos grandes. Use nos pesos Bold (títulos) e SemiBold (subtítulos).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Fonte de texto — Inter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Alta legibilidade em blocos de texto, tabelas e interfaces. Use Regular para corpo de texto e Medium para destaques dentro do texto.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Hierarquia sugerida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rPr>
          <w:tblHeader/>
        </w:trPr>
        <w:tc>
          <w:tcPr>
            <w:tcW w:type="dxa" w:w="25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Fonte / Peso</w:t>
            </w:r>
          </w:p>
        </w:tc>
        <w:tc>
          <w:tcPr>
            <w:tcW w:type="dxa" w:w="3000"/>
            <w:shd w:fill="191C21" w:val="clea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Tamanho de referência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H1 / Título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sz w:val="20"/>
                <w:szCs w:val="20"/>
              </w:rPr>
              <w:t xml:space="preserve">Poppins Bold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32–40pt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H2 / Subtítulo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sz w:val="20"/>
                <w:szCs w:val="20"/>
              </w:rPr>
              <w:t xml:space="preserve">Poppins SemiBold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20–24pt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Corpo de texto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11–14pt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Legenda / Nota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i/>
                <w:iCs/>
                <w:sz w:val="20"/>
                <w:szCs w:val="20"/>
              </w:rPr>
              <w:t xml:space="preserve">Inter Italic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9–10pt</w:t>
            </w:r>
          </w:p>
        </w:tc>
      </w:tr>
    </w:tbl>
    <w:p>
      <w:pPr>
        <w:spacing w:after="240" w:before="80"/>
      </w:pPr>
      <w:r>
        <w:rPr>
          <w:rFonts w:ascii="Inter" w:cs="Inter" w:eastAsia="Inter" w:hAnsi="Inter"/>
          <w:i/>
          <w:iCs/>
          <w:color w:val="5B6472"/>
          <w:sz w:val="18"/>
          <w:szCs w:val="18"/>
        </w:rPr>
        <w:t xml:space="preserve">Alternativa caso Poppins/Inter não estejam disponíveis: Montserrat (títulos) + Work Sans (corpo).</w:t>
      </w:r>
    </w:p>
    <w:p>
      <w:pPr>
        <w:pStyle w:val="Heading1"/>
        <w:pBdr>
          <w:bottom w:val="single" w:color="B910C3" w:sz="12" w:space="6"/>
        </w:pBdr>
        <w:spacing w:after="240" w:before="480"/>
      </w:pPr>
      <w:r>
        <w:rPr>
          <w:rFonts w:ascii="Poppins" w:cs="Poppins" w:eastAsia="Poppins" w:hAnsi="Poppins"/>
          <w:b/>
          <w:bCs/>
          <w:color w:val="071C89"/>
        </w:rPr>
        <w:t xml:space="preserve">5. Gradientes e Fundos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O gradiente é um elemento de assinatura da marca — aparece no símbolo do logo e pode se estender para fundos de slide, capas e materiais de marketing.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Gradiente de marca (saturado)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Azul SA Tech (#0B1B72) → Magenta SA Tech (#A31DBF), diagonal 45°. Uso: símbolo do logo, ícones de destaque, linhas divisórias, botões primários.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Gradiente de fundo (suave)</w:t>
      </w:r>
    </w:p>
    <w:p>
      <w:pPr>
        <w:spacing w:after="160" w:line="30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Azul Suave (#9DBCF2) → Lilás Suave (#CD96E9), diagonal do canto superior-esquerdo ao inferior-direito, como no fundo institucional já em uso. Uso: capas de apresentação, fundos de seção, backgrounds de e-mail marketing.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Sempre aplique o logo principal (versão colorida) sobre o gradiente suave — nunca sobre o gradiente saturado, que compete visualmente.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Para textos longos, prefira fundo sólido branco ou cinza-branco — o gradiente é para capas e destaques, não para blocos de leitura.</w:t>
      </w:r>
    </w:p>
    <w:p>
      <w:pPr>
        <w:pStyle w:val="Heading1"/>
        <w:pBdr>
          <w:bottom w:val="single" w:color="B910C3" w:sz="12" w:space="6"/>
        </w:pBdr>
        <w:spacing w:after="240" w:before="480"/>
      </w:pPr>
      <w:r>
        <w:rPr>
          <w:rFonts w:ascii="Poppins" w:cs="Poppins" w:eastAsia="Poppins" w:hAnsi="Poppins"/>
          <w:b/>
          <w:bCs/>
          <w:color w:val="071C89"/>
        </w:rPr>
        <w:t xml:space="preserve">6. Componentes Visuais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Botões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Primário: fundo Azul SA Tech, texto branco, cantos arredondados (8px).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Secundário: contorno Magenta SA Tech, texto Magenta, fundo transparente.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Estado hover/destaque: aplicar o gradiente de marca no lugar da cor sólida.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Cards e blocos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Fundo branco ou cinza-branco, borda sutil em cinza-linha (#D9DCE3), cantos arredondados (12px).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Ícone ou número em Magenta ou Azul no topo do card para hierarquia visual.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Tags e badges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Fundo em versão clara da cor (10–15% de opacidade), texto na cor sólida correspondente.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Ícones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Estilo de linha (outline), espessura consistente, cor Azul SA Tech como padrão e Magenta para estados ativos/selecionados.</w:t>
      </w:r>
    </w:p>
    <w:p>
      <w:pPr>
        <w:pStyle w:val="Heading1"/>
        <w:pBdr>
          <w:bottom w:val="single" w:color="B910C3" w:sz="12" w:space="6"/>
        </w:pBdr>
        <w:spacing w:after="240" w:before="480"/>
      </w:pPr>
      <w:r>
        <w:rPr>
          <w:rFonts w:ascii="Poppins" w:cs="Poppins" w:eastAsia="Poppins" w:hAnsi="Poppins"/>
          <w:b/>
          <w:bCs/>
          <w:color w:val="071C89"/>
        </w:rPr>
        <w:t xml:space="preserve">7. Aplicações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Apresentações (PPTX)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Capa: gradiente de fundo suave + logo principal centralizado ou no canto superior esquerdo.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Slides de conteúdo: fundo branco, título em Azul SA Tech (Poppins Bold), textos em Inter.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Slide de destaque/dados: pode usar fundo em Azul SA Tech sólido com texto branco e acentos em Magenta.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Redes sociais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Posts: gradiente suave ou sólido como fundo, logo sempre visível no canto, tipografia Poppins para frases de impacto.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Formato quadrado (1:1) para feed, vertical (9:16) para Stories/Reels.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Materiais comerciais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Propostas e PDFs seguem a mesma hierarquia tipográfica deste manual: títulos em Poppins/Azul, corpo em Inter/Tinta.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B910C3"/>
        </w:rPr>
        <w:t xml:space="preserve">E-mail e assinatura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Assinatura de e-mail: logo pequeno (140px), nome em Poppins SemiBold, cargo e contato em Inter Regular cinza.</w:t>
      </w:r>
    </w:p>
    <w:p>
      <w:pPr>
        <w:pStyle w:val="Heading1"/>
        <w:pBdr>
          <w:bottom w:val="single" w:color="B910C3" w:sz="12" w:space="6"/>
        </w:pBdr>
        <w:spacing w:after="240" w:before="480"/>
      </w:pPr>
      <w:r>
        <w:rPr>
          <w:rFonts w:ascii="Poppins" w:cs="Poppins" w:eastAsia="Poppins" w:hAnsi="Poppins"/>
          <w:b/>
          <w:bCs/>
          <w:color w:val="071C89"/>
        </w:rPr>
        <w:t xml:space="preserve">8. O que não fazer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c>
          <w:tcPr>
            <w:tcW w:type="dxa" w:w="4250"/>
            <w:shd w:fill="EAF7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✓  Combinar Azul + Magenta com equilíbrio 60-30-10.</w:t>
            </w:r>
          </w:p>
        </w:tc>
        <w:tc>
          <w:tcPr>
            <w:tcW w:type="dxa" w:w="4250"/>
            <w:shd w:fill="FBEA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✗  Usar as duas cores primárias em partes iguais — gera ruído visual.</w:t>
            </w:r>
          </w:p>
        </w:tc>
      </w:tr>
      <w:tr>
        <w:tc>
          <w:tcPr>
            <w:tcW w:type="dxa" w:w="4250"/>
            <w:shd w:fill="EAF7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✓  Usar tipografia Poppins/Inter em todas as peças.</w:t>
            </w:r>
          </w:p>
        </w:tc>
        <w:tc>
          <w:tcPr>
            <w:tcW w:type="dxa" w:w="4250"/>
            <w:shd w:fill="FBEA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✗  Misturar múltiplas famílias tipográficas na mesma peça.</w:t>
            </w:r>
          </w:p>
        </w:tc>
      </w:tr>
      <w:tr>
        <w:tc>
          <w:tcPr>
            <w:tcW w:type="dxa" w:w="4250"/>
            <w:shd w:fill="EAF7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✓  Aplicar o gradiente suave em fundos de leitura longa.</w:t>
            </w:r>
          </w:p>
        </w:tc>
        <w:tc>
          <w:tcPr>
            <w:tcW w:type="dxa" w:w="4250"/>
            <w:shd w:fill="FBEA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Inter" w:cs="Inter" w:eastAsia="Inter" w:hAnsi="Inter"/>
                <w:color w:val="191C21"/>
                <w:sz w:val="20"/>
                <w:szCs w:val="20"/>
              </w:rPr>
              <w:t xml:space="preserve">✗  Colocar texto corrido sobre o gradiente saturado — baixo contraste.</w:t>
            </w:r>
          </w:p>
        </w:tc>
      </w:tr>
    </w:tbl>
    <w:p>
      <w:pPr>
        <w:pStyle w:val="Heading1"/>
        <w:pBdr>
          <w:bottom w:val="single" w:color="B910C3" w:sz="12" w:space="6"/>
        </w:pBdr>
        <w:spacing w:after="240" w:before="480"/>
      </w:pPr>
      <w:r>
        <w:rPr>
          <w:rFonts w:ascii="Poppins" w:cs="Poppins" w:eastAsia="Poppins" w:hAnsi="Poppins"/>
          <w:b/>
          <w:bCs/>
          <w:color w:val="071C89"/>
        </w:rPr>
        <w:t xml:space="preserve">9. Checklist Rápido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Logo com área de proteção respeitada e tamanho mínimo garantido?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Paleta seguindo a proporção 60% neutro / 30% azul / 10% magenta?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Títulos em Poppins, corpo de texto em Inter?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Gradiente saturado só em elementos de destaque, nunca em texto corrido?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Inter" w:cs="Inter" w:eastAsia="Inter" w:hAnsi="Inter"/>
          <w:color w:val="191C21"/>
          <w:sz w:val="21"/>
          <w:szCs w:val="21"/>
        </w:rPr>
        <w:t xml:space="preserve">Contraste de texto adequado (tinta escura sobre claro, branco sobre escuro)?</w:t>
      </w: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B6472"/>
        <w:sz w:val="16"/>
        <w:szCs w:val="16"/>
      </w:rPr>
      <w:t xml:space="preserve">Página </w:t>
    </w:r>
    <w:r>
      <w:rPr>
        <w:rFonts w:ascii="Inter" w:cs="Inter" w:eastAsia="Inter" w:hAnsi="Inter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3" w:sz="4" w:space="4"/>
      </w:pBdr>
      <w:jc w:val="right"/>
    </w:pPr>
    <w:r>
      <w:rPr>
        <w:rFonts w:ascii="Poppins" w:cs="Poppins" w:eastAsia="Poppins" w:hAnsi="Poppins"/>
        <w:b/>
        <w:bCs/>
        <w:color w:val="5B6472"/>
        <w:sz w:val="16"/>
        <w:szCs w:val="16"/>
      </w:rPr>
      <w:t xml:space="preserve">SA TECH ·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91C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ae308abac92ba23965d3fedee57662279423a7e.jpg"/><Relationship Id="rId10" Type="http://schemas.openxmlformats.org/officeDocument/2006/relationships/image" Target="media/0acd45e8dfb30901fb4921a466460727cc552416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2026-08-04T17:47:12.031Z</dcterms:created>
  <dcterms:modified xsi:type="dcterms:W3CDTF">2026-08-04T17:47:12.031Z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