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C666F" w14:textId="7FBCF310" w:rsidR="00254703" w:rsidRPr="008D27F7" w:rsidRDefault="00913592" w:rsidP="00B404F2">
      <w:pPr>
        <w:jc w:val="both"/>
        <w:rPr>
          <w:b/>
          <w:bCs/>
        </w:rPr>
      </w:pPr>
      <w:r w:rsidRPr="008D27F7">
        <w:rPr>
          <w:b/>
          <w:bCs/>
        </w:rPr>
        <w:t>Title:</w:t>
      </w:r>
      <w:r w:rsidR="009E3A4C">
        <w:rPr>
          <w:b/>
          <w:bCs/>
        </w:rPr>
        <w:t xml:space="preserve"> </w:t>
      </w:r>
      <w:r w:rsidR="005E39F4">
        <w:rPr>
          <w:b/>
          <w:bCs/>
        </w:rPr>
        <w:t xml:space="preserve">Directed evolution of colE1 plasmid replication </w:t>
      </w:r>
      <w:r w:rsidR="004259FB">
        <w:rPr>
          <w:b/>
          <w:bCs/>
        </w:rPr>
        <w:t>compatibility</w:t>
      </w:r>
      <w:r w:rsidR="005E39F4">
        <w:rPr>
          <w:b/>
          <w:bCs/>
        </w:rPr>
        <w:t xml:space="preserve">: </w:t>
      </w:r>
      <w:r w:rsidR="009816E1">
        <w:rPr>
          <w:b/>
          <w:bCs/>
        </w:rPr>
        <w:t xml:space="preserve">a fast tractable tunable model for </w:t>
      </w:r>
      <w:r w:rsidR="004259FB">
        <w:rPr>
          <w:b/>
          <w:bCs/>
        </w:rPr>
        <w:t xml:space="preserve">investigating biological </w:t>
      </w:r>
      <w:r w:rsidR="00922A03">
        <w:rPr>
          <w:b/>
          <w:bCs/>
        </w:rPr>
        <w:t>orthogonality.</w:t>
      </w:r>
    </w:p>
    <w:p w14:paraId="2166D79D" w14:textId="016A5E95" w:rsidR="00913592" w:rsidRDefault="00913592" w:rsidP="00B404F2">
      <w:pPr>
        <w:jc w:val="both"/>
      </w:pPr>
    </w:p>
    <w:p w14:paraId="68BB249C" w14:textId="32453077" w:rsidR="00913592" w:rsidRPr="008D27F7" w:rsidRDefault="00913592" w:rsidP="00B404F2">
      <w:pPr>
        <w:jc w:val="both"/>
        <w:rPr>
          <w:b/>
          <w:bCs/>
        </w:rPr>
      </w:pPr>
      <w:r w:rsidRPr="008D27F7">
        <w:rPr>
          <w:b/>
          <w:bCs/>
        </w:rPr>
        <w:t>Authors:</w:t>
      </w:r>
    </w:p>
    <w:p w14:paraId="2361084B" w14:textId="4024D562" w:rsidR="00913592" w:rsidRPr="0060708D" w:rsidRDefault="00913592" w:rsidP="00B404F2">
      <w:pPr>
        <w:jc w:val="both"/>
        <w:rPr>
          <w:lang w:val="pt-BR"/>
        </w:rPr>
      </w:pPr>
      <w:r w:rsidRPr="0060708D">
        <w:rPr>
          <w:lang w:val="pt-BR"/>
        </w:rPr>
        <w:t>Santiago Chaillou</w:t>
      </w:r>
      <w:r w:rsidRPr="0060708D">
        <w:rPr>
          <w:vertAlign w:val="superscript"/>
          <w:lang w:val="pt-BR"/>
        </w:rPr>
        <w:t>*,1</w:t>
      </w:r>
      <w:r w:rsidRPr="0060708D">
        <w:rPr>
          <w:lang w:val="pt-BR"/>
        </w:rPr>
        <w:t>, Eleftheria</w:t>
      </w:r>
      <w:r w:rsidR="0060708D">
        <w:rPr>
          <w:lang w:val="pt-BR"/>
        </w:rPr>
        <w:t>-Pinelopi</w:t>
      </w:r>
      <w:r w:rsidRPr="0060708D">
        <w:rPr>
          <w:lang w:val="pt-BR"/>
        </w:rPr>
        <w:t xml:space="preserve"> Stamou</w:t>
      </w:r>
      <w:r w:rsidRPr="0060708D">
        <w:rPr>
          <w:vertAlign w:val="superscript"/>
          <w:lang w:val="pt-BR"/>
        </w:rPr>
        <w:t>*,</w:t>
      </w:r>
      <w:r w:rsidR="00C67DB6" w:rsidRPr="0060708D">
        <w:rPr>
          <w:vertAlign w:val="superscript"/>
          <w:lang w:val="pt-BR"/>
        </w:rPr>
        <w:t>2</w:t>
      </w:r>
      <w:r w:rsidRPr="0060708D">
        <w:rPr>
          <w:lang w:val="pt-BR"/>
        </w:rPr>
        <w:t>, Leticia Torres</w:t>
      </w:r>
      <w:r w:rsidR="00C67DB6" w:rsidRPr="0060708D">
        <w:rPr>
          <w:vertAlign w:val="superscript"/>
          <w:lang w:val="pt-BR"/>
        </w:rPr>
        <w:t>2</w:t>
      </w:r>
      <w:r w:rsidRPr="0060708D">
        <w:rPr>
          <w:lang w:val="pt-BR"/>
        </w:rPr>
        <w:t>, Ana B. Riesco</w:t>
      </w:r>
      <w:r w:rsidR="00C67DB6" w:rsidRPr="0060708D">
        <w:rPr>
          <w:vertAlign w:val="superscript"/>
          <w:lang w:val="pt-BR"/>
        </w:rPr>
        <w:t>2</w:t>
      </w:r>
      <w:r w:rsidRPr="0060708D">
        <w:rPr>
          <w:lang w:val="pt-BR"/>
        </w:rPr>
        <w:t>, Warren Hazelton</w:t>
      </w:r>
      <w:r w:rsidR="00C67DB6" w:rsidRPr="0060708D">
        <w:rPr>
          <w:vertAlign w:val="superscript"/>
          <w:lang w:val="pt-BR"/>
        </w:rPr>
        <w:t>2</w:t>
      </w:r>
      <w:r w:rsidRPr="0060708D">
        <w:rPr>
          <w:lang w:val="pt-BR"/>
        </w:rPr>
        <w:t>, Vitor B. Pinheiro</w:t>
      </w:r>
      <w:r w:rsidRPr="0060708D">
        <w:rPr>
          <w:vertAlign w:val="superscript"/>
          <w:lang w:val="pt-BR"/>
        </w:rPr>
        <w:t>1</w:t>
      </w:r>
      <w:r w:rsidR="002B761A" w:rsidRPr="0060708D">
        <w:rPr>
          <w:vertAlign w:val="superscript"/>
          <w:lang w:val="pt-BR"/>
        </w:rPr>
        <w:t>,#</w:t>
      </w:r>
      <w:r w:rsidRPr="0060708D">
        <w:rPr>
          <w:lang w:val="pt-BR"/>
        </w:rPr>
        <w:t>.</w:t>
      </w:r>
    </w:p>
    <w:p w14:paraId="7AFE008D" w14:textId="629DCA1F" w:rsidR="00913592" w:rsidRDefault="00913592" w:rsidP="00B404F2">
      <w:pPr>
        <w:jc w:val="both"/>
      </w:pPr>
      <w:r w:rsidRPr="00913592">
        <w:rPr>
          <w:vertAlign w:val="superscript"/>
        </w:rPr>
        <w:t>1</w:t>
      </w:r>
      <w:r w:rsidRPr="00913592">
        <w:t xml:space="preserve"> </w:t>
      </w:r>
      <w:r w:rsidR="00C67DB6">
        <w:t xml:space="preserve">KU Leuven, </w:t>
      </w:r>
      <w:r w:rsidR="008D27F7">
        <w:t xml:space="preserve">Department of Pharmaceutical and Pharmacological Sciences, </w:t>
      </w:r>
      <w:r w:rsidRPr="00913592">
        <w:t xml:space="preserve">Rega Institute for Medical </w:t>
      </w:r>
      <w:r>
        <w:t>Research, Herestraat</w:t>
      </w:r>
      <w:r w:rsidR="006A7CFD">
        <w:t>,</w:t>
      </w:r>
      <w:r>
        <w:t xml:space="preserve"> 49</w:t>
      </w:r>
      <w:r w:rsidR="006A7CFD">
        <w:t>,</w:t>
      </w:r>
      <w:r>
        <w:t xml:space="preserve"> 3000</w:t>
      </w:r>
      <w:r w:rsidR="006A7CFD">
        <w:t>,</w:t>
      </w:r>
      <w:r>
        <w:t xml:space="preserve"> Belgium</w:t>
      </w:r>
    </w:p>
    <w:p w14:paraId="07B165C9" w14:textId="5A5FFACD" w:rsidR="006A7CFD" w:rsidRDefault="006A7CFD" w:rsidP="00B404F2">
      <w:pPr>
        <w:jc w:val="both"/>
      </w:pPr>
      <w:r>
        <w:rPr>
          <w:vertAlign w:val="superscript"/>
        </w:rPr>
        <w:t>2</w:t>
      </w:r>
      <w:r>
        <w:t xml:space="preserve"> University College London, Institute of Structural and Molecular Biology, University College London, Gower Street, London, WC1E 6BT, UK</w:t>
      </w:r>
    </w:p>
    <w:p w14:paraId="2F2567C2" w14:textId="4F6E21A3" w:rsidR="008D27F7" w:rsidRDefault="008D27F7" w:rsidP="00B404F2">
      <w:pPr>
        <w:jc w:val="both"/>
      </w:pPr>
      <w:r>
        <w:t>* contributed equally to the publication</w:t>
      </w:r>
      <w:r w:rsidR="002915EB">
        <w:t>.</w:t>
      </w:r>
    </w:p>
    <w:p w14:paraId="4F0D4B8C" w14:textId="78146B11" w:rsidR="002B761A" w:rsidRDefault="002B761A" w:rsidP="00B404F2">
      <w:pPr>
        <w:jc w:val="both"/>
      </w:pPr>
      <w:r>
        <w:t xml:space="preserve"># </w:t>
      </w:r>
      <w:r w:rsidR="001342CA">
        <w:t>corresponding author: v.pinheiro@kuleuven.be</w:t>
      </w:r>
    </w:p>
    <w:p w14:paraId="03D94AAD" w14:textId="77777777" w:rsidR="008D27F7" w:rsidRPr="006A7CFD" w:rsidRDefault="008D27F7" w:rsidP="00B404F2">
      <w:pPr>
        <w:jc w:val="both"/>
      </w:pPr>
    </w:p>
    <w:p w14:paraId="5E49428F" w14:textId="5E5AE00D" w:rsidR="00913592" w:rsidRPr="008D27F7" w:rsidRDefault="008D27F7" w:rsidP="00B404F2">
      <w:pPr>
        <w:jc w:val="both"/>
        <w:rPr>
          <w:b/>
          <w:bCs/>
        </w:rPr>
      </w:pPr>
      <w:r w:rsidRPr="008D27F7">
        <w:rPr>
          <w:b/>
          <w:bCs/>
        </w:rPr>
        <w:t>Abstract:</w:t>
      </w:r>
    </w:p>
    <w:p w14:paraId="12589DC8" w14:textId="6C25B282" w:rsidR="006E723D" w:rsidRDefault="003563C9" w:rsidP="00B404F2">
      <w:pPr>
        <w:jc w:val="both"/>
      </w:pPr>
      <w:r>
        <w:t xml:space="preserve">Plasmids </w:t>
      </w:r>
      <w:r w:rsidR="004D2040">
        <w:t xml:space="preserve">of the ColE1 family </w:t>
      </w:r>
      <w:r>
        <w:t xml:space="preserve">are </w:t>
      </w:r>
      <w:r w:rsidR="002922CC">
        <w:t>among the most frequently used plasmids in molecular biology.</w:t>
      </w:r>
      <w:r w:rsidR="00F013D8">
        <w:t xml:space="preserve"> They were adopted early </w:t>
      </w:r>
      <w:r w:rsidR="004755BC">
        <w:t>in</w:t>
      </w:r>
      <w:r w:rsidR="00E000FE">
        <w:t xml:space="preserve"> the field for many biotechnology applications, and as model systems to study plasmid biology. </w:t>
      </w:r>
      <w:r w:rsidR="004A1E52">
        <w:t xml:space="preserve">The mechanism of replication of ColE1 plasmids is well understood, involving the interaction between </w:t>
      </w:r>
      <w:r w:rsidR="0019104C">
        <w:t>a</w:t>
      </w:r>
      <w:r w:rsidR="004A1E52">
        <w:t xml:space="preserve"> plasmid-encoded </w:t>
      </w:r>
      <w:r w:rsidR="0019104C">
        <w:t>sense-antisense gene pair (RNAI and RNAII)</w:t>
      </w:r>
      <w:r w:rsidR="0028542F">
        <w:t xml:space="preserve">. </w:t>
      </w:r>
      <w:r w:rsidR="002773A7">
        <w:t>Because of its mechanism</w:t>
      </w:r>
      <w:r w:rsidR="00150CB7">
        <w:t xml:space="preserve"> of replication, bacterial cells cannot maintain two different plasmids with the same origin</w:t>
      </w:r>
      <w:r w:rsidR="009F37AF">
        <w:t>, with one being rapidly lost from the population</w:t>
      </w:r>
      <w:r w:rsidR="00DE4262">
        <w:t xml:space="preserve"> – a process known as plasmid incompatibility. </w:t>
      </w:r>
      <w:r w:rsidR="00F66D39">
        <w:t>While mutations in the regulatory genes RNAI and RNAII have been reported to make colE1 plasmids more compatible</w:t>
      </w:r>
      <w:r w:rsidR="003C6ACD">
        <w:t xml:space="preserve">, there has been no attempt to </w:t>
      </w:r>
      <w:r w:rsidR="008A55FB">
        <w:t>engineer compatible colE1 origins</w:t>
      </w:r>
      <w:r w:rsidR="00F9468B">
        <w:t>, which can be used for multi-plasmid applications and that can bypass design constrain</w:t>
      </w:r>
      <w:r w:rsidR="00601898">
        <w:t xml:space="preserve">s created by the current limited plasmid origin repertoire available. </w:t>
      </w:r>
      <w:r w:rsidR="005C5FD1">
        <w:t xml:space="preserve">Here, we show that </w:t>
      </w:r>
      <w:r w:rsidR="00466C43">
        <w:t xml:space="preserve">by </w:t>
      </w:r>
      <w:r w:rsidR="005C5FD1">
        <w:t xml:space="preserve">targeting </w:t>
      </w:r>
      <w:r w:rsidR="00053DF5">
        <w:t xml:space="preserve">sequence </w:t>
      </w:r>
      <w:r w:rsidR="005C5FD1">
        <w:t>diversity to the loop regions of RNAI (and RNAII)</w:t>
      </w:r>
      <w:r w:rsidR="00053DF5">
        <w:t xml:space="preserve">, it is possible to select new viable colE1 origins that are compatible with the wild-type </w:t>
      </w:r>
      <w:r w:rsidR="00B768B2">
        <w:t xml:space="preserve">one. We </w:t>
      </w:r>
      <w:r w:rsidR="00C109D3">
        <w:t>demonstrate</w:t>
      </w:r>
      <w:r w:rsidR="00B768B2">
        <w:t xml:space="preserve"> </w:t>
      </w:r>
      <w:r w:rsidR="00B9251C">
        <w:t xml:space="preserve">origin </w:t>
      </w:r>
      <w:r w:rsidR="00B768B2">
        <w:t>compatibility is not simply determined by sequence</w:t>
      </w:r>
      <w:r w:rsidR="00B9251C">
        <w:t xml:space="preserve"> divergence in the loops</w:t>
      </w:r>
      <w:r w:rsidR="00290D95">
        <w:t>, and that pairwise compatibility is not an accurate guide for higher order</w:t>
      </w:r>
      <w:r w:rsidR="00E06290">
        <w:t xml:space="preserve"> interactions. We identify potential principles to eng</w:t>
      </w:r>
      <w:r w:rsidR="0028055B">
        <w:t>i</w:t>
      </w:r>
      <w:r w:rsidR="00E06290">
        <w:t>neer plasmid copy number independently from other regulatory strategies</w:t>
      </w:r>
      <w:r w:rsidR="0028055B">
        <w:t xml:space="preserve"> and we propose plasmid compatibility as a tractable model to study biological orthogonality.</w:t>
      </w:r>
      <w:r w:rsidR="00C109D3">
        <w:t xml:space="preserve"> </w:t>
      </w:r>
      <w:r w:rsidR="00F9660D">
        <w:t xml:space="preserve">New </w:t>
      </w:r>
      <w:r w:rsidR="00C703CC">
        <w:t xml:space="preserve">characterised </w:t>
      </w:r>
      <w:r w:rsidR="00F9660D">
        <w:t xml:space="preserve">plasmid origins </w:t>
      </w:r>
      <w:r w:rsidR="00496C29">
        <w:t>increase flexibility</w:t>
      </w:r>
      <w:r w:rsidR="008F3ABE">
        <w:t xml:space="preserve"> and accessible complexity</w:t>
      </w:r>
      <w:r w:rsidR="00496C29">
        <w:t xml:space="preserve"> of design for </w:t>
      </w:r>
      <w:r w:rsidR="00042F9A">
        <w:t>challenging</w:t>
      </w:r>
      <w:r w:rsidR="00496C29">
        <w:t xml:space="preserve"> </w:t>
      </w:r>
      <w:r w:rsidR="00C94ADD">
        <w:t>synthetic biology applications</w:t>
      </w:r>
      <w:r w:rsidR="00042F9A">
        <w:t xml:space="preserve"> where </w:t>
      </w:r>
      <w:r w:rsidR="00AC0609">
        <w:t xml:space="preserve">biological circuits can be dispersed between multiple </w:t>
      </w:r>
      <w:r w:rsidR="00A933F6">
        <w:t>independent genetic elements.</w:t>
      </w:r>
    </w:p>
    <w:p w14:paraId="098F1E24" w14:textId="77777777" w:rsidR="00AB0549" w:rsidRDefault="00AB0549" w:rsidP="00B404F2">
      <w:pPr>
        <w:jc w:val="both"/>
      </w:pPr>
    </w:p>
    <w:p w14:paraId="162F0738" w14:textId="5E61A321" w:rsidR="008D27F7" w:rsidRDefault="008D27F7" w:rsidP="00B404F2">
      <w:pPr>
        <w:jc w:val="both"/>
      </w:pPr>
      <w:r w:rsidRPr="008D27F7">
        <w:rPr>
          <w:b/>
          <w:bCs/>
        </w:rPr>
        <w:t>Keywords:</w:t>
      </w:r>
      <w:r>
        <w:t xml:space="preserve"> colE1 plasmids, plasmid orthogonality, origin of replication, plasmid copy number</w:t>
      </w:r>
    </w:p>
    <w:p w14:paraId="2EEEDC28" w14:textId="1C80AC52" w:rsidR="008D27F7" w:rsidRDefault="008D27F7" w:rsidP="00B404F2">
      <w:pPr>
        <w:jc w:val="both"/>
      </w:pPr>
    </w:p>
    <w:p w14:paraId="55762964" w14:textId="77777777" w:rsidR="008D27F7" w:rsidRDefault="008D27F7" w:rsidP="00B404F2">
      <w:pPr>
        <w:jc w:val="both"/>
      </w:pPr>
      <w:r>
        <w:br w:type="page"/>
      </w:r>
    </w:p>
    <w:p w14:paraId="0F5F8BB3" w14:textId="2F4AF9FB" w:rsidR="008D27F7" w:rsidRPr="0067610B" w:rsidRDefault="008D27F7" w:rsidP="0067610B">
      <w:pPr>
        <w:spacing w:line="360" w:lineRule="auto"/>
        <w:jc w:val="both"/>
        <w:rPr>
          <w:b/>
          <w:bCs/>
          <w:sz w:val="24"/>
          <w:szCs w:val="24"/>
        </w:rPr>
      </w:pPr>
      <w:r w:rsidRPr="0067610B">
        <w:rPr>
          <w:b/>
          <w:bCs/>
          <w:sz w:val="24"/>
          <w:szCs w:val="24"/>
        </w:rPr>
        <w:lastRenderedPageBreak/>
        <w:t>Introduction</w:t>
      </w:r>
    </w:p>
    <w:p w14:paraId="5CB053F6" w14:textId="5378A8D2" w:rsidR="004469F5" w:rsidRPr="0067610B" w:rsidRDefault="006069DD" w:rsidP="0067610B">
      <w:pPr>
        <w:spacing w:line="360" w:lineRule="auto"/>
        <w:jc w:val="both"/>
        <w:rPr>
          <w:sz w:val="24"/>
          <w:szCs w:val="24"/>
        </w:rPr>
      </w:pPr>
      <w:r w:rsidRPr="0067610B">
        <w:rPr>
          <w:sz w:val="24"/>
          <w:szCs w:val="24"/>
        </w:rPr>
        <w:t>Extrachromosomal genetic elements that replicate independently from the host</w:t>
      </w:r>
      <w:r w:rsidR="00985D21" w:rsidRPr="0067610B">
        <w:rPr>
          <w:sz w:val="24"/>
          <w:szCs w:val="24"/>
        </w:rPr>
        <w:t xml:space="preserve">’s own genetic information are common in nature. They have been reported in all of life’s kingdoms </w:t>
      </w:r>
      <w:r w:rsidR="00CD3439" w:rsidRPr="0067610B">
        <w:rPr>
          <w:sz w:val="24"/>
          <w:szCs w:val="24"/>
        </w:rPr>
        <w:t>and encompass a diverse range of elements exploiting different topologies (linear or circular molecules)</w:t>
      </w:r>
      <w:r w:rsidR="00566780" w:rsidRPr="0067610B">
        <w:rPr>
          <w:sz w:val="24"/>
          <w:szCs w:val="24"/>
        </w:rPr>
        <w:t>, lengths (from kilo- to mega</w:t>
      </w:r>
      <w:r w:rsidR="004D72A7" w:rsidRPr="0067610B">
        <w:rPr>
          <w:sz w:val="24"/>
          <w:szCs w:val="24"/>
        </w:rPr>
        <w:t>base-long molecules)</w:t>
      </w:r>
      <w:r w:rsidR="00542624" w:rsidRPr="0067610B">
        <w:rPr>
          <w:sz w:val="24"/>
          <w:szCs w:val="24"/>
        </w:rPr>
        <w:t xml:space="preserve">, </w:t>
      </w:r>
      <w:r w:rsidR="004D72A7" w:rsidRPr="0067610B">
        <w:rPr>
          <w:sz w:val="24"/>
          <w:szCs w:val="24"/>
        </w:rPr>
        <w:t>copy number (from 1 to hundreds per cell),</w:t>
      </w:r>
      <w:r w:rsidR="00542624" w:rsidRPr="0067610B">
        <w:rPr>
          <w:sz w:val="24"/>
          <w:szCs w:val="24"/>
        </w:rPr>
        <w:t xml:space="preserve"> and reliant on </w:t>
      </w:r>
      <w:r w:rsidR="00F73A37" w:rsidRPr="0067610B">
        <w:rPr>
          <w:sz w:val="24"/>
          <w:szCs w:val="24"/>
        </w:rPr>
        <w:t xml:space="preserve">different strategies for maintenance and replication within the host. Bacterial circular extrachromosomal double-stranded DNA genetic elements, better known as plasmids, have been instrumental </w:t>
      </w:r>
      <w:r w:rsidR="00BF40F2" w:rsidRPr="0067610B">
        <w:rPr>
          <w:sz w:val="24"/>
          <w:szCs w:val="24"/>
        </w:rPr>
        <w:t>for the development of molecular biology and remain one of its most common (and useful) tools.</w:t>
      </w:r>
      <w:r w:rsidR="0046552D" w:rsidRPr="0067610B">
        <w:rPr>
          <w:sz w:val="24"/>
          <w:szCs w:val="24"/>
        </w:rPr>
        <w:t xml:space="preserve"> </w:t>
      </w:r>
      <w:r w:rsidR="00261BF0" w:rsidRPr="0067610B">
        <w:rPr>
          <w:sz w:val="24"/>
          <w:szCs w:val="24"/>
        </w:rPr>
        <w:t xml:space="preserve">Within Synthetic Biology, significant </w:t>
      </w:r>
      <w:r w:rsidR="00C65DC2" w:rsidRPr="0067610B">
        <w:rPr>
          <w:sz w:val="24"/>
          <w:szCs w:val="24"/>
        </w:rPr>
        <w:t xml:space="preserve">standardization efforts have been made to streamline </w:t>
      </w:r>
      <w:r w:rsidR="007E095E" w:rsidRPr="0067610B">
        <w:rPr>
          <w:sz w:val="24"/>
          <w:szCs w:val="24"/>
        </w:rPr>
        <w:t>plasmid</w:t>
      </w:r>
      <w:r w:rsidR="004469F5" w:rsidRPr="0067610B">
        <w:rPr>
          <w:sz w:val="24"/>
          <w:szCs w:val="24"/>
        </w:rPr>
        <w:t xml:space="preserve">s by sequence optimization (e.g. </w:t>
      </w:r>
      <w:r w:rsidR="00B21B32" w:rsidRPr="0067610B">
        <w:rPr>
          <w:sz w:val="24"/>
          <w:szCs w:val="24"/>
        </w:rPr>
        <w:t>removal of non-functional sequences</w:t>
      </w:r>
      <w:r w:rsidR="007F3F30" w:rsidRPr="0067610B">
        <w:rPr>
          <w:sz w:val="24"/>
          <w:szCs w:val="24"/>
        </w:rPr>
        <w:fldChar w:fldCharType="begin" w:fldLock="1"/>
      </w:r>
      <w:r w:rsidR="00855FBA">
        <w:rPr>
          <w:sz w:val="24"/>
          <w:szCs w:val="24"/>
        </w:rPr>
        <w:instrText>ADDIN CSL_CITATION {"citationItems":[{"id":"ITEM-1","itemData":{"DOI":"10.2144/btn-2019-0014","ISSN":"1940-9818","PMID":"31124712","abstract":"Minimal plasmids play an essential role in many intermediate steps in molecular biology. For example, they can be used to assemble building blocks in synthetic biology or be used as intermediate cloning plasmids that are ideal for PCR-based mutagenesis methods. A small backbone also opens up for additional unique restriction enzyme cloning sites. Here we describe the generation of pICOz, a 1185-bp fully functional high-copy cloning plasmid with an extended multiple cloning site. We believe that this is the smallest high-copy cloning vector ever described.","author":[{"dropping-particle":"","family":"Staal","given":"Jens","non-dropping-particle":"","parse-names":false,"suffix":""},{"dropping-particle":"","family":"Alci","given":"Kübra","non-dropping-particle":"","parse-names":false,"suffix":""},{"dropping-particle":"","family":"Schamphelaire","given":"Wouter","non-dropping-particle":"De","parse-names":false,"suffix":""},{"dropping-particle":"","family":"Vanhoucke","given":"Martine","non-dropping-particle":"","parse-names":false,"suffix":""},{"dropping-particle":"","family":"Beyaert","given":"Rudi","non-dropping-particle":"","parse-names":false,"suffix":""}],"container-title":"BioTechniques","id":"ITEM-1","issue":"6","issued":{"date-parts":[["2019","6","24"]]},"page":"254-259","publisher":"Future Science","title":"Engineering a minimal cloning vector from a pUC18 plasmid backbone with an extended multiple cloning site.","type":"article-journal","volume":"66"},"uris":["http://www.mendeley.com/documents/?uuid=f6540c85-bf81-3685-96bd-b75c0f399ebf"]}],"mendeley":{"formattedCitation":"(1)","plainTextFormattedCitation":"(1)","previouslyFormattedCitation":"[1]"},"properties":{"noteIndex":0},"schema":"https://github.com/citation-style-language/schema/raw/master/csl-citation.json"}</w:instrText>
      </w:r>
      <w:r w:rsidR="007F3F30" w:rsidRPr="0067610B">
        <w:rPr>
          <w:sz w:val="24"/>
          <w:szCs w:val="24"/>
        </w:rPr>
        <w:fldChar w:fldCharType="separate"/>
      </w:r>
      <w:r w:rsidR="00855FBA" w:rsidRPr="00855FBA">
        <w:rPr>
          <w:noProof/>
          <w:sz w:val="24"/>
          <w:szCs w:val="24"/>
        </w:rPr>
        <w:t>(1)</w:t>
      </w:r>
      <w:r w:rsidR="007F3F30" w:rsidRPr="0067610B">
        <w:rPr>
          <w:sz w:val="24"/>
          <w:szCs w:val="24"/>
        </w:rPr>
        <w:fldChar w:fldCharType="end"/>
      </w:r>
      <w:r w:rsidR="00B21B32" w:rsidRPr="0067610B">
        <w:rPr>
          <w:sz w:val="24"/>
          <w:szCs w:val="24"/>
        </w:rPr>
        <w:t xml:space="preserve"> and removal of </w:t>
      </w:r>
      <w:r w:rsidR="009A08ED" w:rsidRPr="0067610B">
        <w:rPr>
          <w:sz w:val="24"/>
          <w:szCs w:val="24"/>
        </w:rPr>
        <w:t>unwanted endonuclease restriction sites</w:t>
      </w:r>
      <w:r w:rsidR="00481334" w:rsidRPr="0067610B">
        <w:rPr>
          <w:sz w:val="24"/>
          <w:szCs w:val="24"/>
        </w:rPr>
        <w:fldChar w:fldCharType="begin" w:fldLock="1"/>
      </w:r>
      <w:r w:rsidR="00855FBA">
        <w:rPr>
          <w:sz w:val="24"/>
          <w:szCs w:val="24"/>
        </w:rPr>
        <w:instrText>ADDIN CSL_CITATION {"citationItems":[{"id":"ITEM-1","itemData":{"DOI":"10.1073/pnas.1820256116","ISSN":"0027-8424","PMID":"31097593","abstract":"Bacteria that are recalcitrant to genetic manipulation using modern in vitro techniques are termed genetically intractable. Genetic intractability is a fundamental barrier to progress that hinders basic, synthetic, and translational microbiology research and development beyond a few model organisms. The most common underlying causes of genetic intractability are restriction-modification (RM) systems, ubiquitous defense mechanisms against xenogeneic DNA that hinder the use of genetic approaches in the vast majority of bacteria and exhibit strain-level variation. Here, we describe a systematic approach to overcome RM systems. Our approach was inspired by a simple hypothesis: if a synthetic piece of DNA lacks the highly specific target recognition motifs for a host’s RM systems, then it is invisible to these systems and will not be degraded during artificial transformation. Accordingly, in this process, we determine the genome and methylome of an individual bacterial strain and use this information to define the bacterium’s RM target motifs. We then synonymously eliminate RM targets from the nucleotide sequence of a genetic tool in silico, synthesize an RM-silent “SyngenicDNA” tool, and propagate the tool as minicircle plasmids, termed SyMPL (SyngenicDNA Minicircle Plasmid) tools, before transformation. In a proof-of-principle of our approach, we demonstrate a profound improvement (five orders of magnitude) in the transformation of a clinically relevant USA300 strain of Staphylococcus aureus . This stealth-by-engineering SyngenicDNA approach is effective, flexible, and we expect in future applications could enable microbial genetics free of the restraints of restriction-modification barriers.","author":[{"dropping-particle":"","family":"Johnston","given":"Christopher D.","non-dropping-particle":"","parse-names":false,"suffix":""},{"dropping-particle":"","family":"Cotton","given":"Sean L.","non-dropping-particle":"","parse-names":false,"suffix":""},{"dropping-particle":"","family":"Rittling","given":"Susan R.","non-dropping-particle":"","parse-names":false,"suffix":""},{"dropping-particle":"","family":"Starr","given":"Jacqueline R.","non-dropping-particle":"","parse-names":false,"suffix":""},{"dropping-particle":"","family":"Borisy","given":"Gary G.","non-dropping-particle":"","parse-names":false,"suffix":""},{"dropping-particle":"","family":"Dewhirst","given":"Floyd E.","non-dropping-particle":"","parse-names":false,"suffix":""},{"dropping-particle":"","family":"Lemon","given":"Katherine P.","non-dropping-particle":"","parse-names":false,"suffix":""}],"container-title":"Proceedings of the National Academy of Sciences","id":"ITEM-1","issue":"23","issued":{"date-parts":[["2019","6","4"]]},"page":"11454-11459","publisher":"National Academy of Sciences","title":"Systematic evasion of the restriction-modification barrier in bacteria","type":"article-journal","volume":"116"},"uris":["http://www.mendeley.com/documents/?uuid=c1340aab-1e3c-3096-9ee7-68ae9850bdc8"]}],"mendeley":{"formattedCitation":"(2)","plainTextFormattedCitation":"(2)","previouslyFormattedCitation":"[2]"},"properties":{"noteIndex":0},"schema":"https://github.com/citation-style-language/schema/raw/master/csl-citation.json"}</w:instrText>
      </w:r>
      <w:r w:rsidR="00481334" w:rsidRPr="0067610B">
        <w:rPr>
          <w:sz w:val="24"/>
          <w:szCs w:val="24"/>
        </w:rPr>
        <w:fldChar w:fldCharType="separate"/>
      </w:r>
      <w:r w:rsidR="00855FBA" w:rsidRPr="00855FBA">
        <w:rPr>
          <w:noProof/>
          <w:sz w:val="24"/>
          <w:szCs w:val="24"/>
        </w:rPr>
        <w:t>(2)</w:t>
      </w:r>
      <w:r w:rsidR="00481334" w:rsidRPr="0067610B">
        <w:rPr>
          <w:sz w:val="24"/>
          <w:szCs w:val="24"/>
        </w:rPr>
        <w:fldChar w:fldCharType="end"/>
      </w:r>
      <w:r w:rsidR="009A08ED" w:rsidRPr="0067610B">
        <w:rPr>
          <w:sz w:val="24"/>
          <w:szCs w:val="24"/>
        </w:rPr>
        <w:t>) and modularization</w:t>
      </w:r>
      <w:r w:rsidR="00C91852" w:rsidRPr="0067610B">
        <w:rPr>
          <w:sz w:val="24"/>
          <w:szCs w:val="24"/>
        </w:rPr>
        <w:t xml:space="preserve"> – through academic </w:t>
      </w:r>
      <w:r w:rsidR="00266444" w:rsidRPr="0067610B">
        <w:rPr>
          <w:sz w:val="24"/>
          <w:szCs w:val="24"/>
        </w:rPr>
        <w:t>(</w:t>
      </w:r>
      <w:r w:rsidR="00C91852" w:rsidRPr="0067610B">
        <w:rPr>
          <w:sz w:val="24"/>
          <w:szCs w:val="24"/>
        </w:rPr>
        <w:t>and commercial</w:t>
      </w:r>
      <w:r w:rsidR="00266444" w:rsidRPr="0067610B">
        <w:rPr>
          <w:sz w:val="24"/>
          <w:szCs w:val="24"/>
        </w:rPr>
        <w:t>)</w:t>
      </w:r>
      <w:r w:rsidR="00C91852" w:rsidRPr="0067610B">
        <w:rPr>
          <w:sz w:val="24"/>
          <w:szCs w:val="24"/>
        </w:rPr>
        <w:t xml:space="preserve"> initiatives such as </w:t>
      </w:r>
      <w:r w:rsidR="0017128C" w:rsidRPr="0067610B">
        <w:rPr>
          <w:sz w:val="24"/>
          <w:szCs w:val="24"/>
        </w:rPr>
        <w:t>the pSB1 plasmids used in iGEM</w:t>
      </w:r>
      <w:r w:rsidR="00C34E5D" w:rsidRPr="0067610B">
        <w:rPr>
          <w:sz w:val="24"/>
          <w:szCs w:val="24"/>
        </w:rPr>
        <w:t>,</w:t>
      </w:r>
      <w:r w:rsidR="00C91852" w:rsidRPr="0067610B">
        <w:rPr>
          <w:sz w:val="24"/>
          <w:szCs w:val="24"/>
        </w:rPr>
        <w:t xml:space="preserve"> </w:t>
      </w:r>
      <w:r w:rsidR="00C34E5D" w:rsidRPr="0067610B">
        <w:rPr>
          <w:sz w:val="24"/>
          <w:szCs w:val="24"/>
        </w:rPr>
        <w:t>the Standard European Vector Architecture (SEVA)</w:t>
      </w:r>
      <w:r w:rsidR="00BB291B" w:rsidRPr="0067610B">
        <w:rPr>
          <w:sz w:val="24"/>
          <w:szCs w:val="24"/>
        </w:rPr>
        <w:fldChar w:fldCharType="begin" w:fldLock="1"/>
      </w:r>
      <w:r w:rsidR="00855FBA">
        <w:rPr>
          <w:sz w:val="24"/>
          <w:szCs w:val="24"/>
        </w:rPr>
        <w:instrText>ADDIN CSL_CITATION {"citationItems":[{"id":"ITEM-1","itemData":{"DOI":"10.1093/nar/gkz1024","ISSN":"13624962","PMID":"31740968","abstract":"The Standard European Vector Architecture 3.0 database (SEVA-DB 3.0, http://seva.cnb.csic.es) is the update of the platform launched in 2013 both as a web-based resource and as a material repository of formatted genetic tools (mostly plasmids) for analysis, construction and deployment of complex bacterial phenotypes. The period between the first version of SEVA-DB and the present time has witnessed several technical, computational and conceptual advances in genetic/genomic engineering of prokaryotes that have enabled upgrading of the utilities of the updated database. Novelties include not only a more user-friendly web interface and many more plasmid vectors, but also new links of the plasmids to advanced bioinformatic tools. These provide an intuitive visualization of the constructs at stake and a range of virtual manipulations of DNA segments that were not possible before. Finally, the list of canonical SEVA plasmids is available in machine-readable SBOL (Synthetic Biology Open Language) format. This ensures interoperability with other platforms and affords simulations of their behaviour under different in vivo conditions. We argue that the SEVA-DB will remain a useful resource for extending Synthetic Biology approaches towards non-standard bacterial species as well as genetically programming new prokaryotic chassis for a suite of fundamental and biotechnological endeavours.","author":[{"dropping-particle":"","family":"Martínez-García","given":"Esteban","non-dropping-particle":"","parse-names":false,"suffix":""},{"dropping-particle":"","family":"Goñi-Moreno","given":"Angel","non-dropping-particle":"","parse-names":false,"suffix":""},{"dropping-particle":"","family":"Bartley","given":"Bryan","non-dropping-particle":"","parse-names":false,"suffix":""},{"dropping-particle":"","family":"McLaughlin","given":"James","non-dropping-particle":"","parse-names":false,"suffix":""},{"dropping-particle":"","family":"Sánchez-Sampedro","given":"Lucas","non-dropping-particle":"","parse-names":false,"suffix":""},{"dropping-particle":"","family":"Pascual Del Pozo","given":"Héctor","non-dropping-particle":"","parse-names":false,"suffix":""},{"dropping-particle":"","family":"Prieto Hernández","given":"Clara","non-dropping-particle":"","parse-names":false,"suffix":""},{"dropping-particle":"","family":"Marletta","given":"Ada Serena","non-dropping-particle":"","parse-names":false,"suffix":""},{"dropping-particle":"","family":"Lucrezia","given":"Davide","non-dropping-particle":"De","parse-names":false,"suffix":""},{"dropping-particle":"","family":"Sánchez-Fernández","given":"Guzmán","non-dropping-particle":"","parse-names":false,"suffix":""},{"dropping-particle":"","family":"Fraile","given":"Sofía","non-dropping-particle":"","parse-names":false,"suffix":""},{"dropping-particle":"","family":"Lorenzo","given":"Víctor","non-dropping-particle":"De","parse-names":false,"suffix":""}],"container-title":"Nucleic Acids Research","id":"ITEM-1","issue":"D1","issued":{"date-parts":[["2020","1","1"]]},"page":"D1164-D1170","publisher":"Oxford University Press","title":"SEVA 3.0: An update of the Standard European Vector Architecture for enabling portability of genetic constructs among diverse bacterial hosts","type":"article-journal","volume":"48"},"uris":["http://www.mendeley.com/documents/?uuid=6e463e50-bdfd-3fe8-bcba-01ede91d9bf2"]},{"id":"ITEM-2","itemData":{"DOI":"10.1093/nar/gks1119","ISSN":"03051048","PMID":"23180763","abstract":"The 'Standard European Vector Architecture' database (SEVA-DB, http://seva.cnb.csic.es) was conceived as a user-friendly, web-based resource and a material clone repository to assist in the choice of optimal plasmid vectors for de-constructing and re-constructing complex prokaryotic phenotypes. The SEVA-DB adopts simple design concepts that facilitate the swapping of functional modules and the extension of genome engineering options to microorganisms beyond typical laboratory strains. Under the SEVA standard, every DNA portion of the plasmid vectors is minimized, edited for flaws in their sequence and/or functionality, and endowed with physical connectivity through three inter-segment insulators that are flanked by fixed, rare restriction sites. Such a scaffold enables the exchangeability of multiple origins of replication and diverse antibiotic selection markers to shape a frame for their further combination with a large variety of cargo modules that can be used for varied end-applications. The core collection of constructs that are available at the SEVA-DB has been produced as a starting point for the further expansion of the formatted vector platform. We argue that adoption of the SEVA format can become a shortcut to fill the phenomenal gap between the existing power of DNA synthesis and the actual engineering of predictable and efficacious bacteria. © The Author(s) 2012.","author":[{"dropping-particle":"","family":"Silva-Rocha","given":"Rafael","non-dropping-particle":"","parse-names":false,"suffix":""},{"dropping-particle":"","family":"Martínez-García","given":"Esteban","non-dropping-particle":"","parse-names":false,"suffix":""},{"dropping-particle":"","family":"Calles","given":"Belén","non-dropping-particle":"","parse-names":false,"suffix":""},{"dropping-particle":"","family":"Chavarría","given":"Max","non-dropping-particle":"","parse-names":false,"suffix":""},{"dropping-particle":"","family":"Arce-Rodríguez","given":"Alejandro","non-dropping-particle":"","parse-names":false,"suffix":""},{"dropping-particle":"","family":"Las Heras","given":"Aitor","non-dropping-particle":"De","parse-names":false,"suffix":""},{"dropping-particle":"","family":"Páez-Espino","given":"A. David","non-dropping-particle":"","parse-names":false,"suffix":""},{"dropping-particle":"","family":"Durante-Rodríguez","given":"Gonzalo","non-dropping-particle":"","parse-names":false,"suffix":""},{"dropping-particle":"","family":"Kim","given":"Juhyun","non-dropping-particle":"","parse-names":false,"suffix":""},{"dropping-particle":"","family":"Nikel","given":"Pablo I.","non-dropping-particle":"","parse-names":false,"suffix":""},{"dropping-particle":"","family":"Platero","given":"Raúl","non-dropping-particle":"","parse-names":false,"suffix":""},{"dropping-particle":"","family":"Lorenzo","given":"Víctor","non-dropping-particle":"De","parse-names":false,"suffix":""}],"container-title":"Nucleic Acids Research","id":"ITEM-2","issue":"D1","issued":{"date-parts":[["2013","1","1"]]},"page":"D666","publisher":"Oxford University Press","title":"The Standard European Vector Architecture (SEVA): A coherent platform for the analysis and deployment of complex prokaryotic phenotypes","type":"article-journal","volume":"41"},"uris":["http://www.mendeley.com/documents/?uuid=a8fb631a-1c47-3abc-bf20-2dd56ed40664"]}],"mendeley":{"formattedCitation":"(3, 4)","plainTextFormattedCitation":"(3, 4)","previouslyFormattedCitation":"[3,4]"},"properties":{"noteIndex":0},"schema":"https://github.com/citation-style-language/schema/raw/master/csl-citation.json"}</w:instrText>
      </w:r>
      <w:r w:rsidR="00BB291B" w:rsidRPr="0067610B">
        <w:rPr>
          <w:sz w:val="24"/>
          <w:szCs w:val="24"/>
        </w:rPr>
        <w:fldChar w:fldCharType="separate"/>
      </w:r>
      <w:r w:rsidR="00855FBA" w:rsidRPr="00855FBA">
        <w:rPr>
          <w:noProof/>
          <w:sz w:val="24"/>
          <w:szCs w:val="24"/>
        </w:rPr>
        <w:t>(3, 4)</w:t>
      </w:r>
      <w:r w:rsidR="00BB291B" w:rsidRPr="0067610B">
        <w:rPr>
          <w:sz w:val="24"/>
          <w:szCs w:val="24"/>
        </w:rPr>
        <w:fldChar w:fldCharType="end"/>
      </w:r>
      <w:r w:rsidR="00B734B7" w:rsidRPr="0067610B">
        <w:rPr>
          <w:sz w:val="24"/>
          <w:szCs w:val="24"/>
        </w:rPr>
        <w:t>, or even combinations thereof</w:t>
      </w:r>
      <w:r w:rsidR="00EC3004" w:rsidRPr="0067610B">
        <w:rPr>
          <w:sz w:val="24"/>
          <w:szCs w:val="24"/>
        </w:rPr>
        <w:fldChar w:fldCharType="begin" w:fldLock="1"/>
      </w:r>
      <w:r w:rsidR="00855FBA">
        <w:rPr>
          <w:sz w:val="24"/>
          <w:szCs w:val="24"/>
        </w:rPr>
        <w:instrText>ADDIN CSL_CITATION {"citationItems":[{"id":"ITEM-1","itemData":{"DOI":"10.1093/synbio/ysab003","ISSN":"2397-7000","abstract":"Generation of new DNA constructs is an essential process in modern life science and biotechnology. Modular cloning systems based on Golden Gate cloning, using Type IIS restriction endonucleases, allow assembly of complex multipart constructs from reusable basic DNA parts in a rapid, reliable and automation-friendly way. Many such toolkits are available, with varying degrees of compatibility, most of which are aimed at specific host organisms. Here, we present a vector design which allows simple vector modification by using modular cloning to assemble and add new functions in secondary sites flanking the main insertion site (used for conventional modular cloning). Assembly in all sites is compatible with the PhytoBricks standard, and vectors are compatible with the Standard European Vector Architecture (SEVA) as well as BioBricks. We demonstrate that this facilitates the construction of vectors with tailored functions and simplifies the workflow for generating libraries of constructs with common elements. We have made available a collection of vectors with 10 different microbial replication origins, varying in copy number and host range, and allowing chromosomal integration, as well as a selection of commonly used basic parts. This design expands the range of hosts which can be easily modified by modular cloning and acts as a toolkit which can be used to facilitate the generation of new toolkits with specific functions required for targeting further hosts.","author":[{"dropping-particle":"","family":"Valenzuela-Ortega","given":"Marcos","non-dropping-particle":"","parse-names":false,"suffix":""},{"dropping-particle":"","family":"French","given":"Christopher","non-dropping-particle":"","parse-names":false,"suffix":""}],"container-title":"Synthetic Biology","id":"ITEM-1","issue":"1","issued":{"date-parts":[["2021","2","17"]]},"publisher":"Oxford University Press (OUP)","title":"Joint universal modular plasmids (JUMP): a flexible vector platform for synthetic biology","type":"article-journal","volume":"6"},"uris":["http://www.mendeley.com/documents/?uuid=18473f0d-4872-32c3-95f4-ee0b02f2f4e4"]}],"mendeley":{"formattedCitation":"(5)","plainTextFormattedCitation":"(5)","previouslyFormattedCitation":"[5]"},"properties":{"noteIndex":0},"schema":"https://github.com/citation-style-language/schema/raw/master/csl-citation.json"}</w:instrText>
      </w:r>
      <w:r w:rsidR="00EC3004" w:rsidRPr="0067610B">
        <w:rPr>
          <w:sz w:val="24"/>
          <w:szCs w:val="24"/>
        </w:rPr>
        <w:fldChar w:fldCharType="separate"/>
      </w:r>
      <w:r w:rsidR="00855FBA" w:rsidRPr="00855FBA">
        <w:rPr>
          <w:noProof/>
          <w:sz w:val="24"/>
          <w:szCs w:val="24"/>
        </w:rPr>
        <w:t>(5)</w:t>
      </w:r>
      <w:r w:rsidR="00EC3004" w:rsidRPr="0067610B">
        <w:rPr>
          <w:sz w:val="24"/>
          <w:szCs w:val="24"/>
        </w:rPr>
        <w:fldChar w:fldCharType="end"/>
      </w:r>
      <w:r w:rsidR="00B734B7" w:rsidRPr="0067610B">
        <w:rPr>
          <w:sz w:val="24"/>
          <w:szCs w:val="24"/>
        </w:rPr>
        <w:t>.</w:t>
      </w:r>
    </w:p>
    <w:p w14:paraId="32838B50" w14:textId="5D24E7F0" w:rsidR="00312AE2" w:rsidRPr="0067610B" w:rsidRDefault="000C0CE9" w:rsidP="0067610B">
      <w:pPr>
        <w:spacing w:line="360" w:lineRule="auto"/>
        <w:jc w:val="both"/>
        <w:rPr>
          <w:sz w:val="24"/>
          <w:szCs w:val="24"/>
        </w:rPr>
      </w:pPr>
      <w:r w:rsidRPr="0067610B">
        <w:rPr>
          <w:sz w:val="24"/>
          <w:szCs w:val="24"/>
        </w:rPr>
        <w:t>Simple applications, such as the heterologous expression of a single protein</w:t>
      </w:r>
      <w:r w:rsidR="00654857" w:rsidRPr="0067610B">
        <w:rPr>
          <w:sz w:val="24"/>
          <w:szCs w:val="24"/>
        </w:rPr>
        <w:t xml:space="preserve"> or the development of simple genetic circuits</w:t>
      </w:r>
      <w:r w:rsidR="00644D0B" w:rsidRPr="0067610B">
        <w:rPr>
          <w:sz w:val="24"/>
          <w:szCs w:val="24"/>
        </w:rPr>
        <w:fldChar w:fldCharType="begin" w:fldLock="1"/>
      </w:r>
      <w:r w:rsidR="00855FBA">
        <w:rPr>
          <w:sz w:val="24"/>
          <w:szCs w:val="24"/>
        </w:rPr>
        <w:instrText>ADDIN CSL_CITATION {"citationItems":[{"id":"ITEM-1","itemData":{"DOI":"10.1038/nature01257","ISSN":"0028-0836","PMID":"12432407","abstract":"A central focus of postgenomic research will be to understand how cellular phenomena arise from the connectivity of genes and proteins. This connectivity generates molecular network diagrams that resemble complex electrical circuits, and a systematic understanding will require the development of a mathematical framework for describing the circuitry. From an engineering perspective, the natural path towards such a framework is the construction and analysis of the underlying submodules that constitute the network. Recent experimental advances in both sequencing and genetic engineering have made this approach feasible through the design and implementation of synthetic gene networks amenable to mathematical modelling and quantitative analysis. These developments have signalled the emergence of a gene circuit discipline, which provides a framework for predicting and evaluating the dynamics of cellular processes. Synthetic gene networks will also lead to new logical forms of cellular control, which could have important applications in functional genomics, nanotechnology, and gene and cell therapy.","author":[{"dropping-particle":"","family":"Hasty","given":"Jeff","non-dropping-particle":"","parse-names":false,"suffix":""},{"dropping-particle":"","family":"McMillen","given":"David","non-dropping-particle":"","parse-names":false,"suffix":""},{"dropping-particle":"","family":"Collins","given":"J. J.","non-dropping-particle":"","parse-names":false,"suffix":""}],"container-title":"Nature","id":"ITEM-1","issue":"6912","issued":{"date-parts":[["2002","11","14"]]},"page":"224-230","publisher":"Nature Publishing Group","title":"Engineered gene circuits","type":"article-journal","volume":"420"},"uris":["http://www.mendeley.com/documents/?uuid=32acb622-5fa4-3be1-a074-a19f6a2ee28c"]}],"mendeley":{"formattedCitation":"(6)","plainTextFormattedCitation":"(6)","previouslyFormattedCitation":"[6]"},"properties":{"noteIndex":0},"schema":"https://github.com/citation-style-language/schema/raw/master/csl-citation.json"}</w:instrText>
      </w:r>
      <w:r w:rsidR="00644D0B" w:rsidRPr="0067610B">
        <w:rPr>
          <w:sz w:val="24"/>
          <w:szCs w:val="24"/>
        </w:rPr>
        <w:fldChar w:fldCharType="separate"/>
      </w:r>
      <w:r w:rsidR="00855FBA" w:rsidRPr="00855FBA">
        <w:rPr>
          <w:noProof/>
          <w:sz w:val="24"/>
          <w:szCs w:val="24"/>
        </w:rPr>
        <w:t>(6)</w:t>
      </w:r>
      <w:r w:rsidR="00644D0B" w:rsidRPr="0067610B">
        <w:rPr>
          <w:sz w:val="24"/>
          <w:szCs w:val="24"/>
        </w:rPr>
        <w:fldChar w:fldCharType="end"/>
      </w:r>
      <w:r w:rsidR="009E2D8E" w:rsidRPr="0067610B">
        <w:rPr>
          <w:sz w:val="24"/>
          <w:szCs w:val="24"/>
        </w:rPr>
        <w:t xml:space="preserve">, </w:t>
      </w:r>
      <w:r w:rsidR="00534B0D" w:rsidRPr="0067610B">
        <w:rPr>
          <w:sz w:val="24"/>
          <w:szCs w:val="24"/>
        </w:rPr>
        <w:t xml:space="preserve">can </w:t>
      </w:r>
      <w:r w:rsidR="009374ED" w:rsidRPr="0067610B">
        <w:rPr>
          <w:sz w:val="24"/>
          <w:szCs w:val="24"/>
        </w:rPr>
        <w:t>be readily carried out from a single plasmid without significant impact on plasmid purification, engineering and transformation</w:t>
      </w:r>
      <w:r w:rsidR="00C6501C" w:rsidRPr="0067610B">
        <w:rPr>
          <w:sz w:val="24"/>
          <w:szCs w:val="24"/>
        </w:rPr>
        <w:t xml:space="preserve">. </w:t>
      </w:r>
      <w:r w:rsidR="00DA27BF" w:rsidRPr="0067610B">
        <w:rPr>
          <w:sz w:val="24"/>
          <w:szCs w:val="24"/>
        </w:rPr>
        <w:t xml:space="preserve">However, </w:t>
      </w:r>
      <w:r w:rsidR="00794E50" w:rsidRPr="0067610B">
        <w:rPr>
          <w:sz w:val="24"/>
          <w:szCs w:val="24"/>
        </w:rPr>
        <w:t xml:space="preserve">more complex applications such as the </w:t>
      </w:r>
      <w:r w:rsidR="00642884" w:rsidRPr="0067610B">
        <w:rPr>
          <w:sz w:val="24"/>
          <w:szCs w:val="24"/>
        </w:rPr>
        <w:t>expression of large protein complexes</w:t>
      </w:r>
      <w:r w:rsidR="004E6F2B" w:rsidRPr="0067610B">
        <w:rPr>
          <w:sz w:val="24"/>
          <w:szCs w:val="24"/>
        </w:rPr>
        <w:fldChar w:fldCharType="begin" w:fldLock="1"/>
      </w:r>
      <w:r w:rsidR="00855FBA">
        <w:rPr>
          <w:sz w:val="24"/>
          <w:szCs w:val="24"/>
        </w:rPr>
        <w:instrText>ADDIN CSL_CITATION {"citationItems":[{"id":"ITEM-1","itemData":{"DOI":"10.1016/j.str.2017.01.010","ISSN":"09692126","PMID":"28216041","abstract":"Type-1 secretion systems (T1SSs) represent a widespread mode of protein secretion across the cell envelope in Gram-negative bacteria. The T1SS is composed of an inner-membrane ABC transporter, a periplasmic membrane-fusion protein, and an outer-membrane porin. These three components assemble into a complex spanning both membranes and providing a conduit for the translocation of unfolded polypeptides. We show that ATP hydrolysis and assembly of the entire T1SS complex is necessary for protein secretion. Furthermore, we present a 3.15-Å crystal structure of AaPrtD, the ABC transporter found in the Aquifex aeolicus T1SS. The structure suggests a substrate entry window just above the transporter's nucleotide binding domains. In addition, highly kinked transmembrane helices, which frame a narrow channel not observed in canonical peptide transporters, are likely involved in substrate translocation. Overall, the AaPrtD structure supports a polypeptide transport mechanism distinct from alternating access.","author":[{"dropping-particle":"","family":"Morgan","given":"Jacob L.W.","non-dropping-particle":"","parse-names":false,"suffix":""},{"dropping-particle":"","family":"Acheson","given":"Justin F.","non-dropping-particle":"","parse-names":false,"suffix":""},{"dropping-particle":"","family":"Zimmer","given":"Jochen","non-dropping-particle":"","parse-names":false,"suffix":""}],"container-title":"Structure","id":"ITEM-1","issue":"3","issued":{"date-parts":[["2017","3","7"]]},"page":"522-529","publisher":"Cell Press","title":"Structure of a Type-1 Secretion System ABC Transporter","type":"article-journal","volume":"25"},"uris":["http://www.mendeley.com/documents/?uuid=c9554215-34a0-3602-ad58-652d96a80280"]},{"id":"ITEM-2","itemData":{"DOI":"10.1107/S0907444906031003","ISSN":"0907-4449","PMID":"17001100","abstract":"Structure determination and functional characterization of macromolecular complexes requires the purification of the different subunits in large quantities and their assembly into a functional entity. Although isolation and structure determination of endogenous complexes has been reported, much progress has to be made to make this technology easily accessible. Co-expression of subunits within hosts such as Escherichia coli and insect cells has become more and more amenable, even at the level of high-throughput projects. As part of SPINE (Structural Proteomics In Europe), several laboratories have investigated the use co-expression techniques for their projects, trying to extend from the common binary expression to the more complicated multi-expression systems. A new system for multi-expression in E. coli and a database system dedicated to handle co-expression data are described. Results are also reported from various case studies investigating different methods for performing co-expression in E. coli and insect cells. © International Union of Crystallography, 2006.","author":[{"dropping-particle":"","family":"Romier","given":"Christophe","non-dropping-particle":"","parse-names":false,"suffix":""},{"dropping-particle":"","family":"Jelloul","given":"Marouane","non-dropping-particle":"Ben","parse-names":false,"suffix":""},{"dropping-particle":"","family":"Albeck","given":"Shira","non-dropping-particle":"","parse-names":false,"suffix":""},{"dropping-particle":"","family":"Buchwald","given":"Gretel","non-dropping-particle":"","parse-names":false,"suffix":""},{"dropping-particle":"","family":"Busso","given":"Didier","non-dropping-particle":"","parse-names":false,"suffix":""},{"dropping-particle":"","family":"Celie","given":"Patrick H. N.","non-dropping-particle":"","parse-names":false,"suffix":""},{"dropping-particle":"","family":"Christodoulou","given":"Evangelos","non-dropping-particle":"","parse-names":false,"suffix":""},{"dropping-particle":"","family":"Marco","given":"Valeria","non-dropping-particle":"De","parse-names":false,"suffix":""},{"dropping-particle":"","family":"Gerwen","given":"Suzan","non-dropping-particle":"van","parse-names":false,"suffix":""},{"dropping-particle":"","family":"Knipscheer","given":"Puck","non-dropping-particle":"","parse-names":false,"suffix":""},{"dropping-particle":"","family":"Lebbink","given":"Joyce H.","non-dropping-particle":"","parse-names":false,"suffix":""},{"dropping-particle":"","family":"Notenboom","given":"Valerie","non-dropping-particle":"","parse-names":false,"suffix":""},{"dropping-particle":"","family":"Poterszman","given":"Arnaud","non-dropping-particle":"","parse-names":false,"suffix":""},{"dropping-particle":"","family":"Rochel","given":"Natacha","non-dropping-particle":"","parse-names":false,"suffix":""},{"dropping-particle":"","family":"Cohen","given":"Serge X.","non-dropping-particle":"","parse-names":false,"suffix":""},{"dropping-particle":"","family":"Unger","given":"Tamar","non-dropping-particle":"","parse-names":false,"suffix":""},{"dropping-particle":"","family":"Sussman","given":"Joel L.","non-dropping-particle":"","parse-names":false,"suffix":""},{"dropping-particle":"","family":"Moras","given":"Dino","non-dropping-particle":"","parse-names":false,"suffix":""},{"dropping-particle":"","family":"Sixma","given":"Titia K.","non-dropping-particle":"","parse-names":false,"suffix":""},{"dropping-particle":"","family":"Perrakis","given":"Anastassis","non-dropping-particle":"","parse-names":false,"suffix":""}],"container-title":"Acta Crystallographica Section D Biological Crystallography","id":"ITEM-2","issue":"10","issued":{"date-parts":[["2006","10","1"]]},"page":"1232-1242","publisher":"International Union of Crystallography","title":"Co-expression of protein complexes in prokaryotic and eukaryotic hosts: experimental procedures, database tracking and case studies","type":"article-journal","volume":"62"},"uris":["http://www.mendeley.com/documents/?uuid=3cba25f7-05e0-3ea6-8cd3-4760895c0fec"]}],"mendeley":{"formattedCitation":"(7, 8)","plainTextFormattedCitation":"(7, 8)","previouslyFormattedCitation":"[7,8]"},"properties":{"noteIndex":0},"schema":"https://github.com/citation-style-language/schema/raw/master/csl-citation.json"}</w:instrText>
      </w:r>
      <w:r w:rsidR="004E6F2B" w:rsidRPr="0067610B">
        <w:rPr>
          <w:sz w:val="24"/>
          <w:szCs w:val="24"/>
        </w:rPr>
        <w:fldChar w:fldCharType="separate"/>
      </w:r>
      <w:r w:rsidR="00855FBA" w:rsidRPr="00855FBA">
        <w:rPr>
          <w:noProof/>
          <w:sz w:val="24"/>
          <w:szCs w:val="24"/>
        </w:rPr>
        <w:t>(7, 8)</w:t>
      </w:r>
      <w:r w:rsidR="004E6F2B" w:rsidRPr="0067610B">
        <w:rPr>
          <w:sz w:val="24"/>
          <w:szCs w:val="24"/>
        </w:rPr>
        <w:fldChar w:fldCharType="end"/>
      </w:r>
      <w:r w:rsidR="008D1A7D" w:rsidRPr="0067610B">
        <w:rPr>
          <w:sz w:val="24"/>
          <w:szCs w:val="24"/>
        </w:rPr>
        <w:t xml:space="preserve">, optimization of </w:t>
      </w:r>
      <w:r w:rsidR="000759A8" w:rsidRPr="0067610B">
        <w:rPr>
          <w:sz w:val="24"/>
          <w:szCs w:val="24"/>
        </w:rPr>
        <w:t>synthetic pathway</w:t>
      </w:r>
      <w:r w:rsidR="006B3835" w:rsidRPr="0067610B">
        <w:rPr>
          <w:sz w:val="24"/>
          <w:szCs w:val="24"/>
        </w:rPr>
        <w:t>s</w:t>
      </w:r>
      <w:r w:rsidR="006B3835" w:rsidRPr="0067610B">
        <w:rPr>
          <w:sz w:val="24"/>
          <w:szCs w:val="24"/>
        </w:rPr>
        <w:fldChar w:fldCharType="begin" w:fldLock="1"/>
      </w:r>
      <w:r w:rsidR="00855FBA">
        <w:rPr>
          <w:sz w:val="24"/>
          <w:szCs w:val="24"/>
        </w:rPr>
        <w:instrText>ADDIN CSL_CITATION {"citationItems":[{"id":"ITEM-1","itemData":{"DOI":"10.1186/s12934-014-0160-x","ISSN":"14752859","PMID":"25403509","abstract":"Background: β-carotene is a carotenoid compound that has been widely used not only in the industrial production of pharmaceuticals but also as nutraceuticals, animal feed additives, functional cosmetics, and food colorants. Currently, more than 90% of commercial β-carotene is produced by chemical synthesis. Due to the growing public concern over food safety, the use of chemically synthesized β-carotene as food additives or functional cosmetic agents has been severely controlled in recent years. This has reignited the enthusiasm for seeking natural β-carotene in large-scale fermentative production by microorganisms. Results: To increase β-carotene production by improving the isopentenyl pyrophosphate (IPP) and geranyl diphospate (GPP) concentration in the cell, the optimized MEP (methylerythritol 4-phosphate) pathway containing 1-deoxy-D-xylulose-5-phosphate synthase (DXS) and isopentenyl pyrophosphate isomerase (FNI) from Bacillus subtilis, geranyl diphosphate synthase (GPPS2) from Abies grandis have been co-expressed in an engineered E. coli strain. To further enhance the production of β-carotene, the hybrid MVA (mevalonate) pathway has been introduced into an engineered E. coli strain, co-expressed with the optimized MEP pathway and GPPS2. The final genetically modified strain, YJM49, can accumulate 122.4±6.2 mg/L β-carotene in flask culture, approximately 113-fold and 1.7 times greater than strain YJM39, which carries the native MEP pathway, and YJM45, which harbors the MVA pathway and the native MEP pathway, respectively. Subsequently, the fermentation process was optimized to enhance β-carotene production with a maximum titer of 256.8±10.4 mg/L. Finally, the fed-batch fermentation of β-carotene was evaluated using the optimized culture conditions. After induction for 56 h, the final engineered strain YJM49 accumulated 3.2 g/L β-carotene with a volumetric productivity of 0.37 mg/(L · h · OD600) in aerobic fed-batch fermentation, and the conversion efficiency of glycerol to β-carotene (gram to gram) reached 2.76%. Conclusions: In this paper, by using metabolic engineering techniques, the more efficient biosynthetic pathway of β-carotene was successfully assembled in E. coli BL21(DE3) with the optimized MEP (methylerythritol 4-phosphate) pathway, the gene for GPPS2 from Abies grandis, the hybrid MVA (mevalonate) pathway and β-carotene synthesis genes from Erwinia herbicola.","author":[{"dropping-particle":"","family":"Yang","given":"Jianming","non-dropping-particle":"","parse-names":false,"suffix":""},{"dropping-particle":"","family":"Guo","given":"Lizhong","non-dropping-particle":"","parse-names":false,"suffix":""}],"container-title":"Microbial Cell Factories","id":"ITEM-1","issue":"1","issued":{"date-parts":[["2014","11","18"]]},"page":"1-11","publisher":"BioMed Central Ltd.","title":"Biosynthesis of β-carotene in engineered E. coli using the MEP and MVA pathways","type":"article-journal","volume":"13"},"uris":["http://www.mendeley.com/documents/?uuid=326b1acd-8a58-3db0-a1ff-9b69282f0bdd"]},{"id":"ITEM-2","itemData":{"DOI":"10.1038/nbt833","ISSN":"10870156","PMID":"12778056","abstract":"Isoprenoids are the most numerous and structurally diverse family of natural products. Terpenoids, a class of isoprenoids often isolated from plants, are used as commercial flavor and fragrance compounds and antimalarial or anticancer drugs. Because plant tissue extractions typically yield low terpenoid concentrations, we sought an alternative method to produce high-value terpenoid compounds, such as the antimalarial drug artemisinin, in a microbial host. We engineered the expression of a synthetic amorpha-4,11-diene synthase gene and the mevalonate isoprenoid pathway from Saccharomyces cerevisiae in Escherichia coli. Concentrations of amorphadiene, the sesquiterpene olefin precursor to artemisinin, reached 24 μg caryophyllene equivalent/ml. Because isopentenyl and dimethylallyl pyrophosphates are the universal precursors to all isoprenoids, the strains developed in this study can serve as platform hosts for the production of any terpenoid compound for which a terpene synthase gene is available.","author":[{"dropping-particle":"","family":"Martin","given":"Vincent J.J.","non-dropping-particle":"","parse-names":false,"suffix":""},{"dropping-particle":"","family":"Piteral","given":"Douglas J.","non-dropping-particle":"","parse-names":false,"suffix":""},{"dropping-particle":"","family":"Withers","given":"Sydnor T.","non-dropping-particle":"","parse-names":false,"suffix":""},{"dropping-particle":"","family":"Newman","given":"Jack D.","non-dropping-particle":"","parse-names":false,"suffix":""},{"dropping-particle":"","family":"Keasling","given":"Jay D.","non-dropping-particle":"","parse-names":false,"suffix":""}],"container-title":"Nature Biotechnology","id":"ITEM-2","issue":"7","issued":{"date-parts":[["2003","7","1"]]},"page":"796-802","publisher":"Nature Publishing Group","title":"Engineering a mevalonate pathway in Escherichia coli for production of terpenoids","type":"article-journal","volume":"21"},"uris":["http://www.mendeley.com/documents/?uuid=1080083d-0ae6-341f-a932-92544c0d0fa1"]}],"mendeley":{"formattedCitation":"(9, 10)","plainTextFormattedCitation":"(9, 10)","previouslyFormattedCitation":"[9,10]"},"properties":{"noteIndex":0},"schema":"https://github.com/citation-style-language/schema/raw/master/csl-citation.json"}</w:instrText>
      </w:r>
      <w:r w:rsidR="006B3835" w:rsidRPr="0067610B">
        <w:rPr>
          <w:sz w:val="24"/>
          <w:szCs w:val="24"/>
        </w:rPr>
        <w:fldChar w:fldCharType="separate"/>
      </w:r>
      <w:r w:rsidR="00855FBA" w:rsidRPr="00855FBA">
        <w:rPr>
          <w:noProof/>
          <w:sz w:val="24"/>
          <w:szCs w:val="24"/>
        </w:rPr>
        <w:t>(9, 10)</w:t>
      </w:r>
      <w:r w:rsidR="006B3835" w:rsidRPr="0067610B">
        <w:rPr>
          <w:sz w:val="24"/>
          <w:szCs w:val="24"/>
        </w:rPr>
        <w:fldChar w:fldCharType="end"/>
      </w:r>
      <w:r w:rsidR="006B3835" w:rsidRPr="0067610B">
        <w:rPr>
          <w:sz w:val="24"/>
          <w:szCs w:val="24"/>
        </w:rPr>
        <w:t xml:space="preserve">, or </w:t>
      </w:r>
      <w:r w:rsidR="006F1A90" w:rsidRPr="0067610B">
        <w:rPr>
          <w:sz w:val="24"/>
          <w:szCs w:val="24"/>
        </w:rPr>
        <w:t>directed evolution</w:t>
      </w:r>
      <w:r w:rsidR="00B34BF8" w:rsidRPr="0067610B">
        <w:rPr>
          <w:sz w:val="24"/>
          <w:szCs w:val="24"/>
        </w:rPr>
        <w:fldChar w:fldCharType="begin" w:fldLock="1"/>
      </w:r>
      <w:r w:rsidR="00855FBA">
        <w:rPr>
          <w:sz w:val="24"/>
          <w:szCs w:val="24"/>
        </w:rPr>
        <w:instrText>ADDIN CSL_CITATION {"citationItems":[{"id":"ITEM-1","itemData":{"DOI":"10.1016/S1074-5521(01)00063-1","ISSN":"10745521","PMID":"11564556","abstract":"Background: The addition of new amino acids to the genetic code of Escherichia coli requires an orthogonal suppressor tRNA that is uniquely acylated with a desired unnatural amino acid by an orthogonal aminoacyl-tRNA synthetase. A tRNACUATyr-tyrosyl-tRNA synthetase pair imported from Methanococcus jannaschii can be used to generate such a pair. In vivo selections have been developed for selecting mutant suppressor tRNAs with enhanced orthogonality, which can be used to site-specifically incorporate unnatural amino acids into proteins in E. coli. Results: A library of amber suppressor tRNAs derived from M. jannaschii tRNATyr was generated. tRNACUATyrs that are substrates for endogenous E. coli aminoacyl-tRNA synthetases were deleted from the pool by a negative selection based on suppression of amber nonsense mutations in the barnase gene. The remaining tRNACUATyrs were then selected for their ability to suppress amber nonsense codons in the β-lactamase gene in the presence of the cognate M. jannaschii tyrosyl-tRNA synthetase (TyrRS). Four mutant suppressor tRNAs were selected that are poorer substrates for E. coli synthetases than M. jannaschii tRNACUATyr, but still can be charged efficiently by M. jannaschii TyrRS. Conclusions: The mutant suppressor tRNACUATyr together with the M. jannaschii TyrRS is an excellent orthogonal tRNA-synthetase pair for the in vivo incorporation of unnatural amino acids into proteins. This general approach may be expanded to generate additional orthogonal tRNA-synthetase pairs as well as probe the interactions between tRNAs and their cognate synthetases. © 2001 Elsevier Science Ltd. All rights reserved.","author":[{"dropping-particle":"","family":"Wang","given":"Lei","non-dropping-particle":"","parse-names":false,"suffix":""},{"dropping-particle":"","family":"Schultz","given":"Peter G.","non-dropping-particle":"","parse-names":false,"suffix":""}],"container-title":"Chemistry &amp; Biology","id":"ITEM-1","issue":"9","issued":{"date-parts":[["2001","9"]]},"page":"883-890","publisher":"Chem Biol","title":"A general approach for the generation of orthogonal tRNAs","type":"article-journal","volume":"8"},"uris":["http://www.mendeley.com/documents/?uuid=2ab6af6e-4719-32e5-9af1-b822c0815221"]},{"id":"ITEM-2","itemData":{"DOI":"10.1038/s41467-017-01055-9","ISSN":"2041-1723","PMID":"29038472","abstract":"Here we perform phage-assisted continuous evolution (PACE) of TEV protease, which canonically cleaves ENLYFQS, to cleave a very different target sequence, HPLVGHM, that is present in human IL-23. A protease emerging from ?2500 generations of PACE contains 20 non-silent mutations, cleaves human IL-23 at the target peptide bond, and when pre-mixed with IL-23 in primary cultures of murine splenocytes inhibits IL-23-mediated immune signaling. We characterize the substrate specificity of this evolved enzyme, revealing shifted and broadened specificity changes at the six positions in which the target amino acid sequence differed. Mutational dissection and additional protease specificity profiling reveal the molecular basis of some of these changes. This work establishes the capability of changing the substrate specificity of a protease at many positions in a practical time scale and provides a foundation for the development of custom proteases that catalytically alter or destroy target proteins for biotechnological and therapeutic applications.","author":[{"dropping-particle":"","family":"Packer","given":"Michael S.","non-dropping-particle":"","parse-names":false,"suffix":""},{"dropping-particle":"","family":"Rees","given":"Holly A.","non-dropping-particle":"","parse-names":false,"suffix":""},{"dropping-particle":"","family":"Liu","given":"David R.","non-dropping-particle":"","parse-names":false,"suffix":""}],"container-title":"Nature Communications","id":"ITEM-2","issue":"1","issued":{"date-parts":[["2017","12","16"]]},"page":"956","publisher":"Nature Publishing Group","title":"Phage-assisted continuous evolution of proteases with altered substrate specificity","type":"article-journal","volume":"8"},"uris":["http://www.mendeley.com/documents/?uuid=8cc374cf-160f-35ad-b728-694daa685324"]}],"mendeley":{"formattedCitation":"(11, 12)","plainTextFormattedCitation":"(11, 12)","previouslyFormattedCitation":"[11,12]"},"properties":{"noteIndex":0},"schema":"https://github.com/citation-style-language/schema/raw/master/csl-citation.json"}</w:instrText>
      </w:r>
      <w:r w:rsidR="00B34BF8" w:rsidRPr="0067610B">
        <w:rPr>
          <w:sz w:val="24"/>
          <w:szCs w:val="24"/>
        </w:rPr>
        <w:fldChar w:fldCharType="separate"/>
      </w:r>
      <w:r w:rsidR="00855FBA" w:rsidRPr="00855FBA">
        <w:rPr>
          <w:noProof/>
          <w:sz w:val="24"/>
          <w:szCs w:val="24"/>
        </w:rPr>
        <w:t>(11, 12)</w:t>
      </w:r>
      <w:r w:rsidR="00B34BF8" w:rsidRPr="0067610B">
        <w:rPr>
          <w:sz w:val="24"/>
          <w:szCs w:val="24"/>
        </w:rPr>
        <w:fldChar w:fldCharType="end"/>
      </w:r>
      <w:r w:rsidR="00312AE2" w:rsidRPr="0067610B">
        <w:rPr>
          <w:sz w:val="24"/>
          <w:szCs w:val="24"/>
        </w:rPr>
        <w:t xml:space="preserve"> can benefit from the flexibility </w:t>
      </w:r>
      <w:r w:rsidR="00650CFB" w:rsidRPr="0067610B">
        <w:rPr>
          <w:sz w:val="24"/>
          <w:szCs w:val="24"/>
        </w:rPr>
        <w:t>of having multiple plasmids within a single cell.</w:t>
      </w:r>
    </w:p>
    <w:p w14:paraId="7B75A383" w14:textId="42101E21" w:rsidR="00253B52" w:rsidRPr="0067610B" w:rsidRDefault="003009BB" w:rsidP="0067610B">
      <w:pPr>
        <w:spacing w:line="360" w:lineRule="auto"/>
        <w:jc w:val="both"/>
        <w:rPr>
          <w:sz w:val="24"/>
          <w:szCs w:val="24"/>
        </w:rPr>
      </w:pPr>
      <w:r w:rsidRPr="0067610B">
        <w:rPr>
          <w:sz w:val="24"/>
          <w:szCs w:val="24"/>
        </w:rPr>
        <w:t>While it is possible</w:t>
      </w:r>
      <w:r w:rsidR="00205B4D" w:rsidRPr="0067610B">
        <w:rPr>
          <w:sz w:val="24"/>
          <w:szCs w:val="24"/>
        </w:rPr>
        <w:t xml:space="preserve"> in </w:t>
      </w:r>
      <w:r w:rsidR="008C4DA6" w:rsidRPr="0067610B">
        <w:rPr>
          <w:sz w:val="24"/>
          <w:szCs w:val="24"/>
        </w:rPr>
        <w:t>some</w:t>
      </w:r>
      <w:r w:rsidR="00205B4D" w:rsidRPr="0067610B">
        <w:rPr>
          <w:sz w:val="24"/>
          <w:szCs w:val="24"/>
        </w:rPr>
        <w:t xml:space="preserve"> cases</w:t>
      </w:r>
      <w:r w:rsidRPr="0067610B">
        <w:rPr>
          <w:sz w:val="24"/>
          <w:szCs w:val="24"/>
        </w:rPr>
        <w:t xml:space="preserve"> to maintain multiple plasmids within a cell through continued selection</w:t>
      </w:r>
      <w:r w:rsidR="00205B4D" w:rsidRPr="0067610B">
        <w:rPr>
          <w:sz w:val="24"/>
          <w:szCs w:val="24"/>
        </w:rPr>
        <w:t>,</w:t>
      </w:r>
      <w:r w:rsidR="00AD15D6" w:rsidRPr="0067610B">
        <w:rPr>
          <w:sz w:val="24"/>
          <w:szCs w:val="24"/>
        </w:rPr>
        <w:t xml:space="preserve"> plasmids that share a common replication </w:t>
      </w:r>
      <w:r w:rsidR="00AF6E40" w:rsidRPr="0067610B">
        <w:rPr>
          <w:sz w:val="24"/>
          <w:szCs w:val="24"/>
        </w:rPr>
        <w:t>machinery</w:t>
      </w:r>
      <w:r w:rsidR="00671661" w:rsidRPr="0067610B">
        <w:rPr>
          <w:sz w:val="24"/>
          <w:szCs w:val="24"/>
        </w:rPr>
        <w:t xml:space="preserve"> tend to compete during replication, resulting</w:t>
      </w:r>
      <w:r w:rsidR="002800A9" w:rsidRPr="0067610B">
        <w:rPr>
          <w:sz w:val="24"/>
          <w:szCs w:val="24"/>
        </w:rPr>
        <w:t xml:space="preserve"> (over the course of </w:t>
      </w:r>
      <w:r w:rsidR="00280709" w:rsidRPr="0067610B">
        <w:rPr>
          <w:sz w:val="24"/>
          <w:szCs w:val="24"/>
        </w:rPr>
        <w:t>multiple generations)</w:t>
      </w:r>
      <w:r w:rsidR="00671661" w:rsidRPr="0067610B">
        <w:rPr>
          <w:sz w:val="24"/>
          <w:szCs w:val="24"/>
        </w:rPr>
        <w:t xml:space="preserve"> in</w:t>
      </w:r>
      <w:r w:rsidR="00CE055C" w:rsidRPr="0067610B">
        <w:rPr>
          <w:sz w:val="24"/>
          <w:szCs w:val="24"/>
        </w:rPr>
        <w:t xml:space="preserve"> </w:t>
      </w:r>
      <w:r w:rsidR="007C1BC3" w:rsidRPr="0067610B">
        <w:rPr>
          <w:sz w:val="24"/>
          <w:szCs w:val="24"/>
        </w:rPr>
        <w:t>a single plasmid</w:t>
      </w:r>
      <w:r w:rsidR="00CF3563" w:rsidRPr="0067610B">
        <w:rPr>
          <w:sz w:val="24"/>
          <w:szCs w:val="24"/>
        </w:rPr>
        <w:t xml:space="preserve"> being retained</w:t>
      </w:r>
      <w:r w:rsidR="007C1BC3" w:rsidRPr="0067610B">
        <w:rPr>
          <w:sz w:val="24"/>
          <w:szCs w:val="24"/>
        </w:rPr>
        <w:t xml:space="preserve"> – the process commonly known as plasmid incompatibility</w:t>
      </w:r>
      <w:r w:rsidR="001C007B" w:rsidRPr="0067610B">
        <w:rPr>
          <w:sz w:val="24"/>
          <w:szCs w:val="24"/>
        </w:rPr>
        <w:fldChar w:fldCharType="begin" w:fldLock="1"/>
      </w:r>
      <w:r w:rsidR="00855FBA">
        <w:rPr>
          <w:sz w:val="24"/>
          <w:szCs w:val="24"/>
        </w:rPr>
        <w:instrText>ADDIN CSL_CITATION {"citationItems":[{"id":"ITEM-1","itemData":{"DOI":"10.1093/protein/gzm005","ISSN":"1741-0126","abstract":"It is generally accepted that plasmids containing the same origin of replication are incompatible. We have re-examined this concept in terms of the plasmid copy number, by introducing plasmids containing the same origin of replication and different antibiotic resistance genes into bacteria. By selecting for resistance to only one antibiotic, we were able to examine the persistence of plasmids carrying resistances to other antibiotics. We find that plasmids are not rapidly lost, but are able to persist in bacteria for multiple overnight growth cycles, with some dependence upon the nature of the antibiotic selected for. By carrying out the experiments with different origins of replication, we have been able to show that higher copy number leads to longer persistence, but even with low copy plasmids, persistence occurs to a significant degree. This observation holds significance for the field of protein engineering, as the presence of two or more plasmids within bacteria weakens, and confuses, the connection between screened phenotype and genotype, with the potential to wrongly assign specific phenotypes to incorrect genotypes. ©The Author 2007. Published by Oxford University Press. All rights reserved.","author":[{"dropping-particle":"","family":"Velappan","given":"Nileena","non-dropping-particle":"","parse-names":false,"suffix":""},{"dropping-particle":"","family":"Sblattero","given":"Daniele","non-dropping-particle":"","parse-names":false,"suffix":""},{"dropping-particle":"","family":"Chasteen","given":"Leslie","non-dropping-particle":"","parse-names":false,"suffix":""},{"dropping-particle":"","family":"Pavlik","given":"Peter","non-dropping-particle":"","parse-names":false,"suffix":""},{"dropping-particle":"","family":"Bradbury","given":"A. R.M.","non-dropping-particle":"","parse-names":false,"suffix":""}],"container-title":"Protein Engineering Design and Selection","id":"ITEM-1","issue":"7","issued":{"date-parts":[["2007","3","1"]]},"page":"309-313","title":"Plasmid incompatibility: more compatible than previously thought?","type":"article-journal","volume":"20"},"uris":["http://www.mendeley.com/documents/?uuid=66fa109c-44f7-4c62-bae1-98cc11bb8a4f"]},{"id":"ITEM-2","itemData":{"DOI":"10.1128/MMBR.51.4.381-395.1987","ISSN":"0146-0749","PMID":"3325793","abstract":"In this paper, the random selection mode of plasmid replication and partitioning is first examined from a theoretical viewpoint, and the concept of incompatibility (and other forms of instability) as a consequence of self-correction failure is developed. These theoretical considerations are followed by an exploration of how replication/maintenance functions cause incompatibility for the better known plasmid systems, in the light of self-correction failure and other possible effects.","author":[{"dropping-particle":"","family":"Novick","given":"R. P.","non-dropping-particle":"","parse-names":false,"suffix":""}],"container-title":"Microbiological Reviews","id":"ITEM-2","issue":"4","issued":{"date-parts":[["1987"]]},"page":"381-395","publisher":"American Society for Microbiology (ASM)","title":"Plasmid incompatibility.","type":"article-journal","volume":"51"},"uris":["http://www.mendeley.com/documents/?uuid=31e0fc39-7bf1-31c7-beb6-161f889e0c73"]}],"mendeley":{"formattedCitation":"(13, 14)","plainTextFormattedCitation":"(13, 14)","previouslyFormattedCitation":"[13,14]"},"properties":{"noteIndex":0},"schema":"https://github.com/citation-style-language/schema/raw/master/csl-citation.json"}</w:instrText>
      </w:r>
      <w:r w:rsidR="001C007B" w:rsidRPr="0067610B">
        <w:rPr>
          <w:sz w:val="24"/>
          <w:szCs w:val="24"/>
        </w:rPr>
        <w:fldChar w:fldCharType="separate"/>
      </w:r>
      <w:r w:rsidR="00855FBA" w:rsidRPr="00855FBA">
        <w:rPr>
          <w:noProof/>
          <w:sz w:val="24"/>
          <w:szCs w:val="24"/>
        </w:rPr>
        <w:t>(13, 14)</w:t>
      </w:r>
      <w:r w:rsidR="001C007B" w:rsidRPr="0067610B">
        <w:rPr>
          <w:sz w:val="24"/>
          <w:szCs w:val="24"/>
        </w:rPr>
        <w:fldChar w:fldCharType="end"/>
      </w:r>
      <w:r w:rsidR="007C1BC3" w:rsidRPr="0067610B">
        <w:rPr>
          <w:sz w:val="24"/>
          <w:szCs w:val="24"/>
        </w:rPr>
        <w:t xml:space="preserve">. </w:t>
      </w:r>
      <w:r w:rsidR="00006BAA" w:rsidRPr="0067610B">
        <w:rPr>
          <w:sz w:val="24"/>
          <w:szCs w:val="24"/>
        </w:rPr>
        <w:t xml:space="preserve">Although as many as 27 incompatibility groups have been identified in the </w:t>
      </w:r>
      <w:r w:rsidR="00006BAA" w:rsidRPr="0067610B">
        <w:rPr>
          <w:i/>
          <w:iCs/>
          <w:sz w:val="24"/>
          <w:szCs w:val="24"/>
        </w:rPr>
        <w:t>Enterobactericeae</w:t>
      </w:r>
      <w:r w:rsidR="00006BAA" w:rsidRPr="0067610B">
        <w:rPr>
          <w:sz w:val="24"/>
          <w:szCs w:val="24"/>
        </w:rPr>
        <w:t xml:space="preserve"> family</w:t>
      </w:r>
      <w:r w:rsidR="00FA6334" w:rsidRPr="0067610B">
        <w:rPr>
          <w:sz w:val="24"/>
          <w:szCs w:val="24"/>
        </w:rPr>
        <w:fldChar w:fldCharType="begin" w:fldLock="1"/>
      </w:r>
      <w:r w:rsidR="00855FBA">
        <w:rPr>
          <w:sz w:val="24"/>
          <w:szCs w:val="24"/>
        </w:rPr>
        <w:instrText>ADDIN CSL_CITATION {"citationItems":[{"id":"ITEM-1","itemData":{"DOI":"10.3389/fmicb.2015.00242","ISSN":"1664302X","abstract":"Plasmids are important \"vehicles\" for the communication of genetic information between bacteria. The exchange of plasmids transmits pathogenically and environmentally relevant traits to the host bacteria, promoting their rapid evolution and adaptation to various environments. Over the past six decades, a large number of plasmids have been identified and isolated from different microbes. With the revolution of sequencing technology, more than 4600 complete sequences of plasmids found in bacteria, archaea, and eukaryotes have been determined. The classification of a wide variety of plasmids is not only important to understand their features, host ranges, and microbial evolution but is also necessary to effectively use them as genetic tools for microbial engineering. This review summarizes the current situation of the classification of fully sequenced plasmids based on their host taxonomy and their features of replication and conjugative transfer. The majority of the fully sequenced plasmids are found in bacteria in the Proteobacteria, Firmicutes, Spirochaetes, Actinobacteria, Cyanobacteria and Euryarcheota phyla, and key features of each phylum are included. Recent advances in the identification of novel types of plasmids and plasmid transfer by culture-independent methods using samples from natural environments are also discussed.","author":[{"dropping-particle":"","family":"Shintani","given":"Masaki","non-dropping-particle":"","parse-names":false,"suffix":""},{"dropping-particle":"","family":"Sanchez","given":"Zoe K.","non-dropping-particle":"","parse-names":false,"suffix":""},{"dropping-particle":"","family":"Kimbara","given":"Kazuhide","non-dropping-particle":"","parse-names":false,"suffix":""}],"container-title":"Frontiers in Microbiology","id":"ITEM-1","issue":"MAR","issued":{"date-parts":[["2015","3","31"]]},"page":"242","publisher":"Frontiers Media S.A.","title":"Genomics of microbial plasmids: Classification and identification based on replication and transfer systems and host taxonomy","type":"article","volume":"6"},"uris":["http://www.mendeley.com/documents/?uuid=42764d33-16e6-3d5b-99d5-760a8524d543"]}],"mendeley":{"formattedCitation":"(15)","plainTextFormattedCitation":"(15)","previouslyFormattedCitation":"[15]"},"properties":{"noteIndex":0},"schema":"https://github.com/citation-style-language/schema/raw/master/csl-citation.json"}</w:instrText>
      </w:r>
      <w:r w:rsidR="00FA6334" w:rsidRPr="0067610B">
        <w:rPr>
          <w:sz w:val="24"/>
          <w:szCs w:val="24"/>
        </w:rPr>
        <w:fldChar w:fldCharType="separate"/>
      </w:r>
      <w:r w:rsidR="00855FBA" w:rsidRPr="00855FBA">
        <w:rPr>
          <w:noProof/>
          <w:sz w:val="24"/>
          <w:szCs w:val="24"/>
        </w:rPr>
        <w:t>(15)</w:t>
      </w:r>
      <w:r w:rsidR="00FA6334" w:rsidRPr="0067610B">
        <w:rPr>
          <w:sz w:val="24"/>
          <w:szCs w:val="24"/>
        </w:rPr>
        <w:fldChar w:fldCharType="end"/>
      </w:r>
      <w:r w:rsidR="00FA6334" w:rsidRPr="0067610B">
        <w:rPr>
          <w:sz w:val="24"/>
          <w:szCs w:val="24"/>
        </w:rPr>
        <w:t xml:space="preserve">, </w:t>
      </w:r>
      <w:r w:rsidR="00C01C54" w:rsidRPr="0067610B">
        <w:rPr>
          <w:sz w:val="24"/>
          <w:szCs w:val="24"/>
        </w:rPr>
        <w:t>the number of replication mechanisms is significantly lower</w:t>
      </w:r>
      <w:r w:rsidR="00BC0E2A" w:rsidRPr="0067610B">
        <w:rPr>
          <w:sz w:val="24"/>
          <w:szCs w:val="24"/>
        </w:rPr>
        <w:t>, demonstrating that replication orthogonality can be achieved</w:t>
      </w:r>
      <w:r w:rsidR="00296C9F" w:rsidRPr="0067610B">
        <w:rPr>
          <w:sz w:val="24"/>
          <w:szCs w:val="24"/>
        </w:rPr>
        <w:t>,</w:t>
      </w:r>
      <w:r w:rsidR="00253B52" w:rsidRPr="0067610B">
        <w:rPr>
          <w:sz w:val="24"/>
          <w:szCs w:val="24"/>
        </w:rPr>
        <w:t xml:space="preserve"> by means of sufficiently different replication machinery,</w:t>
      </w:r>
      <w:r w:rsidR="00BC0E2A" w:rsidRPr="0067610B">
        <w:rPr>
          <w:sz w:val="24"/>
          <w:szCs w:val="24"/>
        </w:rPr>
        <w:t xml:space="preserve"> </w:t>
      </w:r>
      <w:r w:rsidR="008C7137" w:rsidRPr="0067610B">
        <w:rPr>
          <w:sz w:val="24"/>
          <w:szCs w:val="24"/>
        </w:rPr>
        <w:t xml:space="preserve">even in situations where the replication strategy is </w:t>
      </w:r>
      <w:r w:rsidR="00842F7F" w:rsidRPr="0067610B">
        <w:rPr>
          <w:sz w:val="24"/>
          <w:szCs w:val="24"/>
        </w:rPr>
        <w:t>shared</w:t>
      </w:r>
      <w:r w:rsidR="008C7137" w:rsidRPr="0067610B">
        <w:rPr>
          <w:sz w:val="24"/>
          <w:szCs w:val="24"/>
        </w:rPr>
        <w:t xml:space="preserve">. </w:t>
      </w:r>
      <w:r w:rsidR="006F06D7" w:rsidRPr="0067610B">
        <w:rPr>
          <w:sz w:val="24"/>
          <w:szCs w:val="24"/>
        </w:rPr>
        <w:t>That is well established in molecular biology where some of the most commonly used plasmids</w:t>
      </w:r>
      <w:r w:rsidR="00E21F4B" w:rsidRPr="0067610B">
        <w:rPr>
          <w:sz w:val="24"/>
          <w:szCs w:val="24"/>
        </w:rPr>
        <w:t xml:space="preserve"> have </w:t>
      </w:r>
      <w:r w:rsidR="00737040" w:rsidRPr="0067610B">
        <w:rPr>
          <w:sz w:val="24"/>
          <w:szCs w:val="24"/>
        </w:rPr>
        <w:t>c</w:t>
      </w:r>
      <w:r w:rsidR="00E21F4B" w:rsidRPr="0067610B">
        <w:rPr>
          <w:sz w:val="24"/>
          <w:szCs w:val="24"/>
        </w:rPr>
        <w:t xml:space="preserve">olE1-type origins but </w:t>
      </w:r>
      <w:r w:rsidR="00A259EC" w:rsidRPr="0067610B">
        <w:rPr>
          <w:sz w:val="24"/>
          <w:szCs w:val="24"/>
        </w:rPr>
        <w:t>sit in different incompatibility groups</w:t>
      </w:r>
      <w:r w:rsidR="009C79D4" w:rsidRPr="0067610B">
        <w:rPr>
          <w:sz w:val="24"/>
          <w:szCs w:val="24"/>
        </w:rPr>
        <w:t>: ColE1 (e.g. pUC, pET, pBR322, pMB1), p15</w:t>
      </w:r>
      <w:r w:rsidR="006708AF" w:rsidRPr="0067610B">
        <w:rPr>
          <w:sz w:val="24"/>
          <w:szCs w:val="24"/>
        </w:rPr>
        <w:t>A</w:t>
      </w:r>
      <w:r w:rsidR="009C79D4" w:rsidRPr="0067610B">
        <w:rPr>
          <w:sz w:val="24"/>
          <w:szCs w:val="24"/>
        </w:rPr>
        <w:t xml:space="preserve"> (e.g. pBAD, pACYC)</w:t>
      </w:r>
      <w:r w:rsidR="001D6990" w:rsidRPr="0067610B">
        <w:rPr>
          <w:sz w:val="24"/>
          <w:szCs w:val="24"/>
        </w:rPr>
        <w:t>, CloDF13</w:t>
      </w:r>
      <w:r w:rsidR="001E0C3F" w:rsidRPr="0067610B">
        <w:rPr>
          <w:sz w:val="24"/>
          <w:szCs w:val="24"/>
        </w:rPr>
        <w:t xml:space="preserve"> (e.g. pCDF)</w:t>
      </w:r>
      <w:r w:rsidR="001D6990" w:rsidRPr="0067610B">
        <w:rPr>
          <w:sz w:val="24"/>
          <w:szCs w:val="24"/>
        </w:rPr>
        <w:t xml:space="preserve"> and RSF1030</w:t>
      </w:r>
      <w:r w:rsidR="00AE1DEE" w:rsidRPr="0067610B">
        <w:rPr>
          <w:sz w:val="24"/>
          <w:szCs w:val="24"/>
        </w:rPr>
        <w:t xml:space="preserve"> (e.g. pRSF)</w:t>
      </w:r>
      <w:r w:rsidR="00BB0D9E" w:rsidRPr="0067610B">
        <w:rPr>
          <w:sz w:val="24"/>
          <w:szCs w:val="24"/>
        </w:rPr>
        <w:fldChar w:fldCharType="begin" w:fldLock="1"/>
      </w:r>
      <w:r w:rsidR="00855FBA">
        <w:rPr>
          <w:sz w:val="24"/>
          <w:szCs w:val="24"/>
        </w:rPr>
        <w:instrText>ADDIN CSL_CITATION {"citationItems":[{"id":"ITEM-1","itemData":{"DOI":"10.1016/0092-8674(83)90502-0","ISSN":"00928674","PMID":"6186390","abstract":"Replication of Escherichia coli plasmid p15A was examined by use of a cell extract or a mixture of three purified E. coli enzymes: RNA polymerase; RNAase H; and DNA polymerase I. In each system, replication inititates at any of three consecutive nucleotides located at a unique site. Primer transcription starts 508 bp upstream of the replication origin. The region between 294 and 524 bp upstream of the origin determines the incompatibility property. This region specifies an RNA (RNA I) of about 105 nucleotides that is involved in regulation of primer formation. We compare the nucleotide sequences around the origins of related plasmids p15A, CoIE1, pBR322, RSF1030 and CIoDF13, and discuss the significance of possible RNA secondary structures in primer formation. © 1983.","author":[{"dropping-particle":"","family":"Selzer","given":"Gerald","non-dropping-particle":"","parse-names":false,"suffix":""},{"dropping-particle":"","family":"Som","given":"Tapan","non-dropping-particle":"","parse-names":false,"suffix":""},{"dropping-particle":"","family":"Itoh","given":"Tateo","non-dropping-particle":"","parse-names":false,"suffix":""},{"dropping-particle":"","family":"Tomizawa","given":"Jun-ichi","non-dropping-particle":"","parse-names":false,"suffix":""}],"container-title":"Cell","id":"ITEM-1","issue":"1","issued":{"date-parts":[["1983","1"]]},"page":"119-129","publisher":"Cell","title":"The origin of replication of plasmid p15A and comparative studies on the nucleotide sequences around the origin of related plasmids","type":"article-journal","volume":"32"},"uris":["http://www.mendeley.com/documents/?uuid=7e0862dd-c143-3b4c-9fa3-5ea6f551c856"]}],"mendeley":{"formattedCitation":"(16)","plainTextFormattedCitation":"(16)","previouslyFormattedCitation":"[16]"},"properties":{"noteIndex":0},"schema":"https://github.com/citation-style-language/schema/raw/master/csl-citation.json"}</w:instrText>
      </w:r>
      <w:r w:rsidR="00BB0D9E" w:rsidRPr="0067610B">
        <w:rPr>
          <w:sz w:val="24"/>
          <w:szCs w:val="24"/>
        </w:rPr>
        <w:fldChar w:fldCharType="separate"/>
      </w:r>
      <w:r w:rsidR="00855FBA" w:rsidRPr="00855FBA">
        <w:rPr>
          <w:noProof/>
          <w:sz w:val="24"/>
          <w:szCs w:val="24"/>
        </w:rPr>
        <w:t>(16)</w:t>
      </w:r>
      <w:r w:rsidR="00BB0D9E" w:rsidRPr="0067610B">
        <w:rPr>
          <w:sz w:val="24"/>
          <w:szCs w:val="24"/>
        </w:rPr>
        <w:fldChar w:fldCharType="end"/>
      </w:r>
      <w:r w:rsidR="002C3A2A">
        <w:rPr>
          <w:sz w:val="24"/>
          <w:szCs w:val="24"/>
        </w:rPr>
        <w:t xml:space="preserve"> – see </w:t>
      </w:r>
      <w:r w:rsidR="002C3A2A" w:rsidRPr="002C3A2A">
        <w:rPr>
          <w:b/>
          <w:bCs/>
          <w:sz w:val="24"/>
          <w:szCs w:val="24"/>
        </w:rPr>
        <w:t>Figure 1</w:t>
      </w:r>
      <w:r w:rsidR="00BB0D9E" w:rsidRPr="0067610B">
        <w:rPr>
          <w:sz w:val="24"/>
          <w:szCs w:val="24"/>
        </w:rPr>
        <w:t>.</w:t>
      </w:r>
    </w:p>
    <w:p w14:paraId="1D5B5AB6" w14:textId="358EBECD" w:rsidR="000B2B7B" w:rsidRPr="0067610B" w:rsidRDefault="00FF1B97" w:rsidP="0067610B">
      <w:pPr>
        <w:spacing w:line="360" w:lineRule="auto"/>
        <w:jc w:val="both"/>
        <w:rPr>
          <w:sz w:val="24"/>
          <w:szCs w:val="24"/>
        </w:rPr>
      </w:pPr>
      <w:r w:rsidRPr="0067610B">
        <w:rPr>
          <w:sz w:val="24"/>
          <w:szCs w:val="24"/>
        </w:rPr>
        <w:lastRenderedPageBreak/>
        <w:t xml:space="preserve">Replication of </w:t>
      </w:r>
      <w:r w:rsidR="00737040" w:rsidRPr="0067610B">
        <w:rPr>
          <w:sz w:val="24"/>
          <w:szCs w:val="24"/>
        </w:rPr>
        <w:t>c</w:t>
      </w:r>
      <w:r w:rsidRPr="0067610B">
        <w:rPr>
          <w:sz w:val="24"/>
          <w:szCs w:val="24"/>
        </w:rPr>
        <w:t xml:space="preserve">olE1-type plasmids rely </w:t>
      </w:r>
      <w:r w:rsidR="00E417E0" w:rsidRPr="0067610B">
        <w:rPr>
          <w:sz w:val="24"/>
          <w:szCs w:val="24"/>
        </w:rPr>
        <w:t>on the interplay between two RNA transcripts</w:t>
      </w:r>
      <w:r w:rsidR="003B02A8" w:rsidRPr="0067610B">
        <w:rPr>
          <w:sz w:val="24"/>
          <w:szCs w:val="24"/>
        </w:rPr>
        <w:t>,</w:t>
      </w:r>
      <w:r w:rsidR="00515DF1" w:rsidRPr="0067610B">
        <w:rPr>
          <w:sz w:val="24"/>
          <w:szCs w:val="24"/>
        </w:rPr>
        <w:t xml:space="preserve"> from a sense-antisense overlapping gene pair</w:t>
      </w:r>
      <w:r w:rsidR="003B02A8" w:rsidRPr="0067610B">
        <w:rPr>
          <w:sz w:val="24"/>
          <w:szCs w:val="24"/>
        </w:rPr>
        <w:t xml:space="preserve"> (RNAI and RNAII), </w:t>
      </w:r>
      <w:r w:rsidR="00B40A7B" w:rsidRPr="0067610B">
        <w:rPr>
          <w:sz w:val="24"/>
          <w:szCs w:val="24"/>
        </w:rPr>
        <w:t>and the plasmid DNA</w:t>
      </w:r>
      <w:r w:rsidR="00A70584" w:rsidRPr="0067610B">
        <w:rPr>
          <w:sz w:val="24"/>
          <w:szCs w:val="24"/>
        </w:rPr>
        <w:fldChar w:fldCharType="begin" w:fldLock="1"/>
      </w:r>
      <w:r w:rsidR="00855FBA">
        <w:rPr>
          <w:sz w:val="24"/>
          <w:szCs w:val="24"/>
        </w:rPr>
        <w:instrText>ADDIN CSL_CITATION {"citationItems":[{"id":"ITEM-1","itemData":{"DOI":"10.1111/j.1432-1033.1979.tb13131.x","ISSN":"0014-2956","PMID":"380993","abstract":"In an RNA-synthesizing system in vitro, a low-molecular-weight RNA consisting of about 110 residues (RNA-I) was efficiently synthesized on DNA of colicin E 1 plasmid (ColE1) and its deletion derivatives. The promoter site for RNA-I was analysed by testing the RNA polymerase-binding ability and template activity of restriction fragments; it was mapped in the region between the replication initiation site and the colicin immunity gene of ColE1. The direction of transcription was determined by hybridization tests to the separated strands of the template. The DNA region directing RNA-I was sequenced, and RNA-I was assigned on the sequence based on the nearest-neighbour data of RNA. The sequences of its promoter and terminator regions were also deduced. Although the function of this small RNA species is unknown, a unique secondary structure could be constructed from its sequence and sensitivity to RNase.","author":[{"dropping-particle":"","family":"Morita","given":"Masayuki","non-dropping-particle":"","parse-names":false,"suffix":""},{"dropping-particle":"","family":"Oka","given":"Atsuhiro","non-dropping-particle":"","parse-names":false,"suffix":""}],"container-title":"European journal of biochemistry","id":"ITEM-1","issue":"2","issued":{"date-parts":[["1979","7"]]},"page":"435-43","publisher":"Eur J Biochem","title":"The structure of a transcriptional unit on colicin E1 plasmid.","type":"article-journal","volume":"97"},"uris":["http://www.mendeley.com/documents/?uuid=b4693629-188f-3d1c-ad99-eba5197ef729"]},{"id":"ITEM-2","itemData":{"DOI":"10.1038/294623a0","ISSN":"0028-0836","abstract":"Four single base pair mutations in the region that codes for RNA I create new incompatibility groups while preserving the mechanism of control of initiation of DNA replication in a ColE1-type plasmid. Sequence analysis of these base substitutions points to the primary importance of the central loop of the cloverleaf structure of RNA I in this control mechanism. © 1981 Nature Publishing Group.","author":[{"dropping-particle":"","family":"Lacatena","given":"R. M.","non-dropping-particle":"","parse-names":false,"suffix":""},{"dropping-particle":"","family":"Cesareni","given":"G.","non-dropping-particle":"","parse-names":false,"suffix":""}],"container-title":"Nature","id":"ITEM-2","issue":"5842","issued":{"date-parts":[["1981","12"]]},"page":"623-626","title":"Base pairing of RNA I with its complementary sequence in the primer precursor inhibits ColE1 replication","type":"article-journal","volume":"294"},"uris":["http://www.mendeley.com/documents/?uuid=70e15405-63ad-42ca-8f49-c8998aa42d57"]}],"mendeley":{"formattedCitation":"(17, 18)","plainTextFormattedCitation":"(17, 18)","previouslyFormattedCitation":"[17,18]"},"properties":{"noteIndex":0},"schema":"https://github.com/citation-style-language/schema/raw/master/csl-citation.json"}</w:instrText>
      </w:r>
      <w:r w:rsidR="00A70584" w:rsidRPr="0067610B">
        <w:rPr>
          <w:sz w:val="24"/>
          <w:szCs w:val="24"/>
        </w:rPr>
        <w:fldChar w:fldCharType="separate"/>
      </w:r>
      <w:r w:rsidR="00855FBA" w:rsidRPr="00855FBA">
        <w:rPr>
          <w:noProof/>
          <w:sz w:val="24"/>
          <w:szCs w:val="24"/>
        </w:rPr>
        <w:t>(17, 18)</w:t>
      </w:r>
      <w:r w:rsidR="00A70584" w:rsidRPr="0067610B">
        <w:rPr>
          <w:sz w:val="24"/>
          <w:szCs w:val="24"/>
        </w:rPr>
        <w:fldChar w:fldCharType="end"/>
      </w:r>
      <w:r w:rsidR="00515DF1" w:rsidRPr="0067610B">
        <w:rPr>
          <w:sz w:val="24"/>
          <w:szCs w:val="24"/>
        </w:rPr>
        <w:t>.</w:t>
      </w:r>
      <w:r w:rsidR="00E86D32" w:rsidRPr="0067610B">
        <w:rPr>
          <w:sz w:val="24"/>
          <w:szCs w:val="24"/>
        </w:rPr>
        <w:t xml:space="preserve"> The efficiency of </w:t>
      </w:r>
      <w:r w:rsidR="003F694E" w:rsidRPr="0067610B">
        <w:rPr>
          <w:sz w:val="24"/>
          <w:szCs w:val="24"/>
        </w:rPr>
        <w:t>those</w:t>
      </w:r>
      <w:r w:rsidR="00E86D32" w:rsidRPr="0067610B">
        <w:rPr>
          <w:sz w:val="24"/>
          <w:szCs w:val="24"/>
        </w:rPr>
        <w:t xml:space="preserve"> interaction</w:t>
      </w:r>
      <w:r w:rsidR="003F694E" w:rsidRPr="0067610B">
        <w:rPr>
          <w:sz w:val="24"/>
          <w:szCs w:val="24"/>
        </w:rPr>
        <w:t>s</w:t>
      </w:r>
      <w:r w:rsidR="00E86D32" w:rsidRPr="0067610B">
        <w:rPr>
          <w:sz w:val="24"/>
          <w:szCs w:val="24"/>
        </w:rPr>
        <w:t xml:space="preserve"> has a direct impact on plasmid copy number per cell</w:t>
      </w:r>
      <w:r w:rsidR="00992CA0" w:rsidRPr="0067610B">
        <w:rPr>
          <w:sz w:val="24"/>
          <w:szCs w:val="24"/>
        </w:rPr>
        <w:fldChar w:fldCharType="begin" w:fldLock="1"/>
      </w:r>
      <w:r w:rsidR="00855FBA">
        <w:rPr>
          <w:sz w:val="24"/>
          <w:szCs w:val="24"/>
        </w:rPr>
        <w:instrText>ADDIN CSL_CITATION {"citationItems":[{"id":"ITEM-1","itemData":{"DOI":"10.1016/0168-9525(91)90370-6","ISSN":"01689525","PMID":"1887504","abstract":"One of the two major classes of regulatory strategies that control plasmid copy number involves recognition via base pairing between two plasmid-encoded complementary RNAs. The detailed analysis of this control circuitry has revealed some features of regulatory mechanisms based on RNA-RNA interaction that distinguish then from those based on protein-nucleic acid interaction. These features provide a framework with which to understand other regulatory mechanisms based on RNA-RNA interaction, and will aid in the design of efficient artificial antisense RNA systems. © 1994.","author":[{"dropping-particle":"","family":"Cesareni","given":"G.","non-dropping-particle":"","parse-names":false,"suffix":""},{"dropping-particle":"","family":"Helmer-Citterich","given":"M.","non-dropping-particle":"","parse-names":false,"suffix":""},{"dropping-particle":"","family":"Castagnoli","given":"L.","non-dropping-particle":"","parse-names":false,"suffix":""}],"container-title":"Trends in Genetics","id":"ITEM-1","issue":"7","issued":{"date-parts":[["1991"]]},"page":"230-235","publisher":"Trends Genet","title":"Control of ColE1 plasmid replication by antisense RNA","type":"article-journal","volume":"7"},"uris":["http://www.mendeley.com/documents/?uuid=15557ad8-d88a-411b-89c1-9d2c8390bd5d"]}],"mendeley":{"formattedCitation":"(19)","plainTextFormattedCitation":"(19)","previouslyFormattedCitation":"[19]"},"properties":{"noteIndex":0},"schema":"https://github.com/citation-style-language/schema/raw/master/csl-citation.json"}</w:instrText>
      </w:r>
      <w:r w:rsidR="00992CA0" w:rsidRPr="0067610B">
        <w:rPr>
          <w:sz w:val="24"/>
          <w:szCs w:val="24"/>
        </w:rPr>
        <w:fldChar w:fldCharType="separate"/>
      </w:r>
      <w:r w:rsidR="00855FBA" w:rsidRPr="00855FBA">
        <w:rPr>
          <w:noProof/>
          <w:sz w:val="24"/>
          <w:szCs w:val="24"/>
        </w:rPr>
        <w:t>(19)</w:t>
      </w:r>
      <w:r w:rsidR="00992CA0" w:rsidRPr="0067610B">
        <w:rPr>
          <w:sz w:val="24"/>
          <w:szCs w:val="24"/>
        </w:rPr>
        <w:fldChar w:fldCharType="end"/>
      </w:r>
      <w:r w:rsidR="00E86D32" w:rsidRPr="0067610B">
        <w:rPr>
          <w:sz w:val="24"/>
          <w:szCs w:val="24"/>
        </w:rPr>
        <w:t xml:space="preserve"> and it is further modulated </w:t>
      </w:r>
      <w:r w:rsidR="0040616D" w:rsidRPr="0067610B">
        <w:rPr>
          <w:sz w:val="24"/>
          <w:szCs w:val="24"/>
        </w:rPr>
        <w:t xml:space="preserve">by plasmid-encoded </w:t>
      </w:r>
      <w:r w:rsidR="00BC1A37" w:rsidRPr="0067610B">
        <w:rPr>
          <w:sz w:val="24"/>
          <w:szCs w:val="24"/>
        </w:rPr>
        <w:t>ds</w:t>
      </w:r>
      <w:r w:rsidR="004C1124" w:rsidRPr="0067610B">
        <w:rPr>
          <w:sz w:val="24"/>
          <w:szCs w:val="24"/>
        </w:rPr>
        <w:t>RNA binding proteins</w:t>
      </w:r>
      <w:r w:rsidR="00CE5EF9" w:rsidRPr="0067610B">
        <w:rPr>
          <w:sz w:val="24"/>
          <w:szCs w:val="24"/>
        </w:rPr>
        <w:t xml:space="preserve"> such as Rom</w:t>
      </w:r>
      <w:r w:rsidR="003D1294" w:rsidRPr="0067610B">
        <w:rPr>
          <w:sz w:val="24"/>
          <w:szCs w:val="24"/>
        </w:rPr>
        <w:t>/Rop</w:t>
      </w:r>
      <w:r w:rsidR="00282D92" w:rsidRPr="0067610B">
        <w:rPr>
          <w:sz w:val="24"/>
          <w:szCs w:val="24"/>
        </w:rPr>
        <w:fldChar w:fldCharType="begin" w:fldLock="1"/>
      </w:r>
      <w:r w:rsidR="00855FBA">
        <w:rPr>
          <w:sz w:val="24"/>
          <w:szCs w:val="24"/>
        </w:rPr>
        <w:instrText>ADDIN CSL_CITATION {"citationItems":[{"id":"ITEM-1","itemData":{"DOI":"10.1073/pnas.79.20.6313","ISSN":"0027-8424","PMID":"6183660","author":[{"dropping-particle":"","family":"Cesareni","given":"G.","non-dropping-particle":"","parse-names":false,"suffix":""},{"dropping-particle":"","family":"Muesing","given":"M. A.","non-dropping-particle":"","parse-names":false,"suffix":""},{"dropping-particle":"","family":"Polisky","given":"B.","non-dropping-particle":"","parse-names":false,"suffix":""}],"container-title":"Proceedings of the National Academy of Sciences","id":"ITEM-1","issue":"20","issued":{"date-parts":[["1982","10","1"]]},"page":"6313-6317","publisher":"Proc Natl Acad Sci U S A","title":"Control of ColE1 DNA replication: the rop gene product negatively affects transcription from the replication primer promoter.","type":"article-journal","volume":"79"},"uris":["http://www.mendeley.com/documents/?uuid=8c469a9b-e8a5-4ddd-979e-74ec1d14fe50"]}],"mendeley":{"formattedCitation":"(20)","plainTextFormattedCitation":"(20)","previouslyFormattedCitation":"[20]"},"properties":{"noteIndex":0},"schema":"https://github.com/citation-style-language/schema/raw/master/csl-citation.json"}</w:instrText>
      </w:r>
      <w:r w:rsidR="00282D92" w:rsidRPr="0067610B">
        <w:rPr>
          <w:sz w:val="24"/>
          <w:szCs w:val="24"/>
        </w:rPr>
        <w:fldChar w:fldCharType="separate"/>
      </w:r>
      <w:r w:rsidR="00855FBA" w:rsidRPr="00855FBA">
        <w:rPr>
          <w:noProof/>
          <w:sz w:val="24"/>
          <w:szCs w:val="24"/>
        </w:rPr>
        <w:t>(20)</w:t>
      </w:r>
      <w:r w:rsidR="00282D92" w:rsidRPr="0067610B">
        <w:rPr>
          <w:sz w:val="24"/>
          <w:szCs w:val="24"/>
        </w:rPr>
        <w:fldChar w:fldCharType="end"/>
      </w:r>
      <w:r w:rsidR="00282D92" w:rsidRPr="0067610B">
        <w:rPr>
          <w:sz w:val="24"/>
          <w:szCs w:val="24"/>
        </w:rPr>
        <w:t xml:space="preserve">. </w:t>
      </w:r>
      <w:r w:rsidR="00E82BA8" w:rsidRPr="0067610B">
        <w:rPr>
          <w:sz w:val="24"/>
          <w:szCs w:val="24"/>
        </w:rPr>
        <w:t>Al</w:t>
      </w:r>
      <w:r w:rsidR="00EC68EC" w:rsidRPr="0067610B">
        <w:rPr>
          <w:sz w:val="24"/>
          <w:szCs w:val="24"/>
        </w:rPr>
        <w:t>though RNAI and RNAII are complementary</w:t>
      </w:r>
      <w:r w:rsidR="001F429D" w:rsidRPr="0067610B">
        <w:rPr>
          <w:sz w:val="24"/>
          <w:szCs w:val="24"/>
        </w:rPr>
        <w:t xml:space="preserve"> </w:t>
      </w:r>
      <w:r w:rsidR="00120EFE" w:rsidRPr="0067610B">
        <w:rPr>
          <w:sz w:val="24"/>
          <w:szCs w:val="24"/>
        </w:rPr>
        <w:t>(</w:t>
      </w:r>
      <w:r w:rsidR="00D10A50" w:rsidRPr="0067610B">
        <w:rPr>
          <w:sz w:val="24"/>
          <w:szCs w:val="24"/>
        </w:rPr>
        <w:t xml:space="preserve">and therefore </w:t>
      </w:r>
      <w:r w:rsidR="00A93E7C" w:rsidRPr="0067610B">
        <w:rPr>
          <w:sz w:val="24"/>
          <w:szCs w:val="24"/>
        </w:rPr>
        <w:t xml:space="preserve">their interaction </w:t>
      </w:r>
      <w:r w:rsidR="00C805AD" w:rsidRPr="0067610B">
        <w:rPr>
          <w:sz w:val="24"/>
          <w:szCs w:val="24"/>
        </w:rPr>
        <w:t xml:space="preserve">is </w:t>
      </w:r>
      <w:r w:rsidR="00D10A50" w:rsidRPr="0067610B">
        <w:rPr>
          <w:sz w:val="24"/>
          <w:szCs w:val="24"/>
        </w:rPr>
        <w:t xml:space="preserve">thermodynamically </w:t>
      </w:r>
      <w:r w:rsidR="001E1CF5" w:rsidRPr="0067610B">
        <w:rPr>
          <w:sz w:val="24"/>
          <w:szCs w:val="24"/>
        </w:rPr>
        <w:t>favourable), both molecules are highly structured (</w:t>
      </w:r>
      <w:r w:rsidR="00040B8B" w:rsidRPr="0067610B">
        <w:rPr>
          <w:sz w:val="24"/>
          <w:szCs w:val="24"/>
        </w:rPr>
        <w:t>hence</w:t>
      </w:r>
      <w:r w:rsidR="001E1CF5" w:rsidRPr="0067610B">
        <w:rPr>
          <w:sz w:val="24"/>
          <w:szCs w:val="24"/>
        </w:rPr>
        <w:t xml:space="preserve"> their interaction is not kinetically favourable)</w:t>
      </w:r>
      <w:r w:rsidR="00DB7FC4">
        <w:rPr>
          <w:sz w:val="24"/>
          <w:szCs w:val="24"/>
        </w:rPr>
        <w:fldChar w:fldCharType="begin" w:fldLock="1"/>
      </w:r>
      <w:r w:rsidR="00855FBA">
        <w:rPr>
          <w:sz w:val="24"/>
          <w:szCs w:val="24"/>
        </w:rPr>
        <w:instrText>ADDIN CSL_CITATION {"citationItems":[{"id":"ITEM-1","itemData":{"DOI":"10.1016/j.bpj.2011.12.052","ISSN":"00063495","PMID":"22404932","abstract":"Kissing hairpin interactions form when the loop residues of two hairpins have Watson-Crick complementarity. In a unimolecular context, kissing interactions are important for tertiary folding and pseudoknot formation, whereas in a bimolecular context, they provide a basis for molecular recognition. In some cases, kissing complexes can be a prelude to strand displacement reactions where the two hairpins resolve to form a stable extended intermolecular duplex. The kinetics and thermodynamics of kissing-complex formation and their subsequent strand-displacement reactions are poorly understood. Here, biophysical techniques including isothermal titration calorimetry, surface plasmon resonance, and single-molecule fluorescence have been employed to probe the factors that govern the stability of kissing complexes and their subsequent structural rearrangements. We show that the general understanding of RNA duplex formation can be extended to kissing complexes but that kissing complexes display an unusual level of stability relative to simple duplexes of the same sequence. These interactions form and break many times at room temperature before becoming committed to a slow, irreversible forward transition to the strand-displaced form. Furthermore, using smFRET we show that the primary difference between stable and labile kissing complexes is based almost completely on their off rates. Both stable and labile complexes form at the same rate within error, but less stable species dissociate rapidly, allowing us to understand how these complexes can help generate specificity along a folding pathway or during a gene regulation event. © 2012 Biophysical Society.","author":[{"dropping-particle":"","family":"Salim","given":"Nilshad","non-dropping-particle":"","parse-names":false,"suffix":""},{"dropping-particle":"","family":"Lamichhane","given":"Rajan","non-dropping-particle":"","parse-names":false,"suffix":""},{"dropping-particle":"","family":"Zhao","given":"Rui","non-dropping-particle":"","parse-names":false,"suffix":""},{"dropping-particle":"","family":"Banerjee","given":"Tuhina","non-dropping-particle":"","parse-names":false,"suffix":""},{"dropping-particle":"","family":"Philip","given":"Jane","non-dropping-particle":"","parse-names":false,"suffix":""},{"dropping-particle":"","family":"Rueda","given":"David","non-dropping-particle":"","parse-names":false,"suffix":""},{"dropping-particle":"","family":"Feig","given":"Andrew L.","non-dropping-particle":"","parse-names":false,"suffix":""}],"container-title":"Biophysical Journal","id":"ITEM-1","issue":"5","issued":{"date-parts":[["2012","3","7"]]},"page":"1097-1107","publisher":"Cell Press","title":"Thermodynamic and kinetic analysis of an RNA kissing interaction and its resolution into an extended duplex","type":"article-journal","volume":"102"},"uris":["http://www.mendeley.com/documents/?uuid=87c7bf4f-225d-3dee-8a5f-6631c919d704"]}],"mendeley":{"formattedCitation":"(21)","plainTextFormattedCitation":"(21)","previouslyFormattedCitation":"[21]"},"properties":{"noteIndex":0},"schema":"https://github.com/citation-style-language/schema/raw/master/csl-citation.json"}</w:instrText>
      </w:r>
      <w:r w:rsidR="00DB7FC4">
        <w:rPr>
          <w:sz w:val="24"/>
          <w:szCs w:val="24"/>
        </w:rPr>
        <w:fldChar w:fldCharType="separate"/>
      </w:r>
      <w:r w:rsidR="00855FBA" w:rsidRPr="00855FBA">
        <w:rPr>
          <w:noProof/>
          <w:sz w:val="24"/>
          <w:szCs w:val="24"/>
        </w:rPr>
        <w:t>(21)</w:t>
      </w:r>
      <w:r w:rsidR="00DB7FC4">
        <w:rPr>
          <w:sz w:val="24"/>
          <w:szCs w:val="24"/>
        </w:rPr>
        <w:fldChar w:fldCharType="end"/>
      </w:r>
      <w:r w:rsidR="001112B2" w:rsidRPr="0067610B">
        <w:rPr>
          <w:sz w:val="24"/>
          <w:szCs w:val="24"/>
        </w:rPr>
        <w:t xml:space="preserve">. </w:t>
      </w:r>
      <w:r w:rsidR="00373C6E" w:rsidRPr="0067610B">
        <w:rPr>
          <w:sz w:val="24"/>
          <w:szCs w:val="24"/>
        </w:rPr>
        <w:t xml:space="preserve">Loop-loop interactions between RNAI and RNAII initiate and facilitate the formation of </w:t>
      </w:r>
      <w:r w:rsidR="008A27E8" w:rsidRPr="0067610B">
        <w:rPr>
          <w:sz w:val="24"/>
          <w:szCs w:val="24"/>
        </w:rPr>
        <w:t xml:space="preserve">their </w:t>
      </w:r>
      <w:r w:rsidR="00373C6E" w:rsidRPr="0067610B">
        <w:rPr>
          <w:sz w:val="24"/>
          <w:szCs w:val="24"/>
        </w:rPr>
        <w:t>dsRNA complexes</w:t>
      </w:r>
      <w:r w:rsidR="008A27E8" w:rsidRPr="0067610B">
        <w:rPr>
          <w:sz w:val="24"/>
          <w:szCs w:val="24"/>
        </w:rPr>
        <w:t xml:space="preserve">, </w:t>
      </w:r>
      <w:r w:rsidR="000B2B7B" w:rsidRPr="0067610B">
        <w:rPr>
          <w:sz w:val="24"/>
          <w:szCs w:val="24"/>
        </w:rPr>
        <w:t xml:space="preserve">which </w:t>
      </w:r>
      <w:r w:rsidR="00876D10">
        <w:rPr>
          <w:sz w:val="24"/>
          <w:szCs w:val="24"/>
        </w:rPr>
        <w:t>as a result</w:t>
      </w:r>
      <w:r w:rsidR="000B2B7B" w:rsidRPr="0067610B">
        <w:rPr>
          <w:sz w:val="24"/>
          <w:szCs w:val="24"/>
        </w:rPr>
        <w:t xml:space="preserve"> cannot initiate plasmid replication</w:t>
      </w:r>
      <w:r w:rsidR="004F5D86" w:rsidRPr="0067610B">
        <w:rPr>
          <w:sz w:val="24"/>
          <w:szCs w:val="24"/>
        </w:rPr>
        <w:fldChar w:fldCharType="begin" w:fldLock="1"/>
      </w:r>
      <w:r w:rsidR="00855FBA">
        <w:rPr>
          <w:sz w:val="24"/>
          <w:szCs w:val="24"/>
        </w:rPr>
        <w:instrText>ADDIN CSL_CITATION {"citationItems":[{"id":"ITEM-1","itemData":{"DOI":"10.1016/0168-9525(91)90370-6","ISSN":"01689525","PMID":"1887504","abstract":"One of the two major classes of regulatory strategies that control plasmid copy number involves recognition via base pairing between two plasmid-encoded complementary RNAs. The detailed analysis of this control circuitry has revealed some features of regulatory mechanisms based on RNA-RNA interaction that distinguish then from those based on protein-nucleic acid interaction. These features provide a framework with which to understand other regulatory mechanisms based on RNA-RNA interaction, and will aid in the design of efficient artificial antisense RNA systems. © 1994.","author":[{"dropping-particle":"","family":"Cesareni","given":"G.","non-dropping-particle":"","parse-names":false,"suffix":""},{"dropping-particle":"","family":"Helmer-Citterich","given":"M.","non-dropping-particle":"","parse-names":false,"suffix":""},{"dropping-particle":"","family":"Castagnoli","given":"L.","non-dropping-particle":"","parse-names":false,"suffix":""}],"container-title":"Trends in Genetics","id":"ITEM-1","issue":"7","issued":{"date-parts":[["1991"]]},"page":"230-235","publisher":"Trends Genet","title":"Control of ColE1 plasmid replication by antisense RNA","type":"article-journal","volume":"7"},"uris":["http://www.mendeley.com/documents/?uuid=15557ad8-d88a-411b-89c1-9d2c8390bd5d"]}],"mendeley":{"formattedCitation":"(19)","plainTextFormattedCitation":"(19)","previouslyFormattedCitation":"[19]"},"properties":{"noteIndex":0},"schema":"https://github.com/citation-style-language/schema/raw/master/csl-citation.json"}</w:instrText>
      </w:r>
      <w:r w:rsidR="004F5D86" w:rsidRPr="0067610B">
        <w:rPr>
          <w:sz w:val="24"/>
          <w:szCs w:val="24"/>
        </w:rPr>
        <w:fldChar w:fldCharType="separate"/>
      </w:r>
      <w:r w:rsidR="00855FBA" w:rsidRPr="00855FBA">
        <w:rPr>
          <w:noProof/>
          <w:sz w:val="24"/>
          <w:szCs w:val="24"/>
        </w:rPr>
        <w:t>(19)</w:t>
      </w:r>
      <w:r w:rsidR="004F5D86" w:rsidRPr="0067610B">
        <w:rPr>
          <w:sz w:val="24"/>
          <w:szCs w:val="24"/>
        </w:rPr>
        <w:fldChar w:fldCharType="end"/>
      </w:r>
      <w:r w:rsidR="000B2B7B" w:rsidRPr="0067610B">
        <w:rPr>
          <w:sz w:val="24"/>
          <w:szCs w:val="24"/>
        </w:rPr>
        <w:t>.</w:t>
      </w:r>
    </w:p>
    <w:p w14:paraId="667C14A0" w14:textId="041AA992" w:rsidR="00874399" w:rsidRPr="0067610B" w:rsidRDefault="002B42BA" w:rsidP="0067610B">
      <w:pPr>
        <w:spacing w:line="360" w:lineRule="auto"/>
        <w:jc w:val="both"/>
        <w:rPr>
          <w:sz w:val="24"/>
          <w:szCs w:val="24"/>
        </w:rPr>
      </w:pPr>
      <w:r w:rsidRPr="0067610B">
        <w:rPr>
          <w:sz w:val="24"/>
          <w:szCs w:val="24"/>
        </w:rPr>
        <w:t>The well-characterised interactions between RNAI and RNAII</w:t>
      </w:r>
      <w:r w:rsidR="00F7426C" w:rsidRPr="0067610B">
        <w:rPr>
          <w:sz w:val="24"/>
          <w:szCs w:val="24"/>
        </w:rPr>
        <w:t xml:space="preserve"> is further supported by multiple </w:t>
      </w:r>
      <w:r w:rsidR="009E77F2" w:rsidRPr="0067610B">
        <w:rPr>
          <w:sz w:val="24"/>
          <w:szCs w:val="24"/>
        </w:rPr>
        <w:t xml:space="preserve">investigations on the impact of mutations, insertions and deletions on the viability </w:t>
      </w:r>
      <w:r w:rsidR="000D6960" w:rsidRPr="0067610B">
        <w:rPr>
          <w:sz w:val="24"/>
          <w:szCs w:val="24"/>
        </w:rPr>
        <w:t>of the colE1 origin and on their</w:t>
      </w:r>
      <w:r w:rsidR="009E77F2" w:rsidRPr="0067610B">
        <w:rPr>
          <w:sz w:val="24"/>
          <w:szCs w:val="24"/>
        </w:rPr>
        <w:t xml:space="preserve"> </w:t>
      </w:r>
      <w:r w:rsidR="005F0931" w:rsidRPr="0067610B">
        <w:rPr>
          <w:sz w:val="24"/>
          <w:szCs w:val="24"/>
        </w:rPr>
        <w:t>potential</w:t>
      </w:r>
      <w:r w:rsidR="000D6960" w:rsidRPr="0067610B">
        <w:rPr>
          <w:sz w:val="24"/>
          <w:szCs w:val="24"/>
        </w:rPr>
        <w:t xml:space="preserve"> effect on plasmid</w:t>
      </w:r>
      <w:r w:rsidR="005F0931" w:rsidRPr="0067610B">
        <w:rPr>
          <w:sz w:val="24"/>
          <w:szCs w:val="24"/>
        </w:rPr>
        <w:t xml:space="preserve"> compatibility</w:t>
      </w:r>
      <w:r w:rsidR="0067049E" w:rsidRPr="0067610B">
        <w:rPr>
          <w:sz w:val="24"/>
          <w:szCs w:val="24"/>
        </w:rPr>
        <w:fldChar w:fldCharType="begin" w:fldLock="1"/>
      </w:r>
      <w:r w:rsidR="00855FBA">
        <w:rPr>
          <w:sz w:val="24"/>
          <w:szCs w:val="24"/>
        </w:rPr>
        <w:instrText>ADDIN CSL_CITATION {"citationItems":[{"id":"ITEM-1","itemData":{"DOI":"10.1016/j.jmb.2005.06.051","ISSN":"00222836","PMID":"16051272","abstract":"Genes can be mutated by altering DNA content (base changes) or DNA length (insertions or deletions). Most in vitro directed evolution processes utilize nucleotide content changes to produce DNA libraries. We tested whether gain of function mutations could be identified using a mutagenic process that produced only nucleotide deletions. Short nucleotide stretches were deleted in a plasmid encoding lacZ, and screened for increased β-galactosidase activity. Several mutations were found in the origin of replication that quantitatively and qualitatively altered plasmid behavior in vivo. Some mutations allowed co-residence of ColE1 plasmids in Escherichia coli, and implicate hairpin structures II and III of the ColE1 RNA primer as determinants of plasmid compatibility. Thus, useful and unexpected mutations can be found from libraries containing only deletions. © 2005 Elsevier Ltd. All rights reserved.","author":[{"dropping-particle":"","family":"Kim","given":"Dewey","non-dropping-particle":"","parse-names":false,"suffix":""},{"dropping-particle":"","family":"Rhee","given":"Yoon","non-dropping-particle":"","parse-names":false,"suffix":""},{"dropping-particle":"","family":"Rhodes","given":"Denise","non-dropping-particle":"","parse-names":false,"suffix":""},{"dropping-particle":"","family":"Sharma","given":"Vikram","non-dropping-particle":"","parse-names":false,"suffix":""},{"dropping-particle":"","family":"Sorenson","given":"Olav","non-dropping-particle":"","parse-names":false,"suffix":""},{"dropping-particle":"","family":"Greener","given":"Alan","non-dropping-particle":"","parse-names":false,"suffix":""},{"dropping-particle":"","family":"Smider","given":"Vaughn","non-dropping-particle":"","parse-names":false,"suffix":""}],"container-title":"Journal of Molecular Biology","id":"ITEM-1","issue":"4","issued":{"date-parts":[["2005","8","26"]]},"page":"763-775","publisher":"Academic Press","title":"Directed Evolution and Identification of Control Regions of ColE1 Plasmid Replication Origins Using Only Nucleotide Deletions","type":"article-journal","volume":"351"},"uris":["http://www.mendeley.com/documents/?uuid=bc3484f7-2b6b-41c8-b487-6ac7018af5fd"]},{"id":"ITEM-2","itemData":{"DOI":"10.1038/294623a0","ISSN":"0028-0836","abstract":"Four single base pair mutations in the region that codes for RNA I create new incompatibility groups while preserving the mechanism of control of initiation of DNA replication in a ColE1-type plasmid. Sequence analysis of these base substitutions points to the primary importance of the central loop of the cloverleaf structure of RNA I in this control mechanism. © 1981 Nature Publishing Group.","author":[{"dropping-particle":"","family":"Lacatena","given":"R. M.","non-dropping-particle":"","parse-names":false,"suffix":""},{"dropping-particle":"","family":"Cesareni","given":"G.","non-dropping-particle":"","parse-names":false,"suffix":""}],"container-title":"Nature","id":"ITEM-2","issue":"5842","issued":{"date-parts":[["1981","12"]]},"page":"623-626","title":"Base pairing of RNA I with its complementary sequence in the primer precursor inhibits ColE1 replication","type":"article-journal","volume":"294"},"uris":["http://www.mendeley.com/documents/?uuid=70e15405-63ad-42ca-8f49-c8998aa42d57"]},{"id":"ITEM-3","itemData":{"DOI":"10.1073/pnas.78.10.6096","ISSN":"0027-8424","PMID":"6171811","author":[{"dropping-particle":"","family":"Tomizawa","given":"J.","non-dropping-particle":"","parse-names":false,"suffix":""},{"dropping-particle":"","family":"Itoh","given":"T.","non-dropping-particle":"","parse-names":false,"suffix":""}],"container-title":"Proceedings of the National Academy of Sciences","id":"ITEM-3","issue":"10","issued":{"date-parts":[["1981","10","1"]]},"page":"6096-6100","title":"Plasmid ColE1 incompatibility determined by interaction of RNA I with primer transcript.","type":"article-journal","volume":"78"},"uris":["http://www.mendeley.com/documents/?uuid=3235ca72-cb4d-452b-a3f5-5c65adffae96"]},{"id":"ITEM-4","itemData":{"DOI":"10.2174/187221510790410822","ISSN":"18722156","PMID":"20218961","abstract":"ColE1-like plasmids constitute the most popular vectors for recombinant protein expression. ColE1 plasmid replication is tightly controlled by an antisense RNA mechanism that is highly dynamic, tuning plasmid metabolic burden to the physiological state of the host. Plasmid homeostasis is upset upon induction of recombinant protein expression because of non-physiological levels of expression and because of the frequently biased amino acid composition of recombinant proteins. Disregulation of plasmid replication is the main cause of collapse of plasmid-based expression systems because of a simultaneous increase in the metabolic burden (due to increased average copy number) and in the probability of generation of plasmid-free cells (due to increased copy number variation). Interference between regulatory elements of co-resident plasmids causes comparable effects on plasmid stability (plasmid incompatibility). Modulating plasmid copy number for recombinant gene expression aims at achieving a high gene dosage while preserving the stability of the expression system. Here I present strategies targeting plasmid replication for optimizing recombinant gene expression. Specifically, I review approaches aimed at modulating the antisense regulatory system (as well as their implications for plasmid incompatibility) and innovative strategies involving modulation of host factors, of R-loop formation, and of the timing of recombinant gene expression. ©2010 Bentham Science Publishers Ltd.","author":[{"dropping-particle":"","family":"Camps","given":"Manel","non-dropping-particle":"","parse-names":false,"suffix":""}],"container-title":"Recent Patents on DNA and Gene Sequences","id":"ITEM-4","issue":"1","issued":{"date-parts":[["2010"]]},"page":"58-73","title":"Modulation of ColE1-like plasmid replication for recombinant gene expression","type":"article-journal","volume":"4"},"uris":["http://www.mendeley.com/documents/?uuid=95670492-7326-472e-91ea-2a98a1d9ab97"]}],"mendeley":{"formattedCitation":"(18, 22–24)","plainTextFormattedCitation":"(18, 22–24)","previouslyFormattedCitation":"[18,22–24]"},"properties":{"noteIndex":0},"schema":"https://github.com/citation-style-language/schema/raw/master/csl-citation.json"}</w:instrText>
      </w:r>
      <w:r w:rsidR="0067049E" w:rsidRPr="0067610B">
        <w:rPr>
          <w:sz w:val="24"/>
          <w:szCs w:val="24"/>
        </w:rPr>
        <w:fldChar w:fldCharType="separate"/>
      </w:r>
      <w:r w:rsidR="00855FBA" w:rsidRPr="00855FBA">
        <w:rPr>
          <w:noProof/>
          <w:sz w:val="24"/>
          <w:szCs w:val="24"/>
        </w:rPr>
        <w:t>(18, 22–24)</w:t>
      </w:r>
      <w:r w:rsidR="0067049E" w:rsidRPr="0067610B">
        <w:rPr>
          <w:sz w:val="24"/>
          <w:szCs w:val="24"/>
        </w:rPr>
        <w:fldChar w:fldCharType="end"/>
      </w:r>
      <w:r w:rsidR="005F0931" w:rsidRPr="0067610B">
        <w:rPr>
          <w:sz w:val="24"/>
          <w:szCs w:val="24"/>
        </w:rPr>
        <w:t>.</w:t>
      </w:r>
      <w:r w:rsidR="000D6960" w:rsidRPr="0067610B">
        <w:rPr>
          <w:sz w:val="24"/>
          <w:szCs w:val="24"/>
        </w:rPr>
        <w:t xml:space="preserve"> </w:t>
      </w:r>
      <w:r w:rsidR="00C4195E" w:rsidRPr="0067610B">
        <w:rPr>
          <w:sz w:val="24"/>
          <w:szCs w:val="24"/>
        </w:rPr>
        <w:t>Together with the simplicity of readouts (presence or absence of a plasmid in a cell)</w:t>
      </w:r>
      <w:r w:rsidR="003B4213" w:rsidRPr="0067610B">
        <w:rPr>
          <w:sz w:val="24"/>
          <w:szCs w:val="24"/>
        </w:rPr>
        <w:t xml:space="preserve">, colE1 origins of replications have the potential to be powerful model systems for </w:t>
      </w:r>
      <w:r w:rsidR="00874399" w:rsidRPr="0067610B">
        <w:rPr>
          <w:sz w:val="24"/>
          <w:szCs w:val="24"/>
        </w:rPr>
        <w:t>studying biological orthogonality – how t</w:t>
      </w:r>
      <w:r w:rsidR="00EC7148" w:rsidRPr="0067610B">
        <w:rPr>
          <w:sz w:val="24"/>
          <w:szCs w:val="24"/>
        </w:rPr>
        <w:t>o engineer it, how to characterise it</w:t>
      </w:r>
      <w:r w:rsidR="00A73AC3" w:rsidRPr="0067610B">
        <w:rPr>
          <w:sz w:val="24"/>
          <w:szCs w:val="24"/>
        </w:rPr>
        <w:t>, and how to define it.</w:t>
      </w:r>
    </w:p>
    <w:p w14:paraId="774731F7" w14:textId="4E94A9B8" w:rsidR="00CB1940" w:rsidRPr="0067610B" w:rsidRDefault="00576BD4" w:rsidP="0067610B">
      <w:pPr>
        <w:spacing w:line="360" w:lineRule="auto"/>
        <w:jc w:val="both"/>
        <w:rPr>
          <w:sz w:val="24"/>
          <w:szCs w:val="24"/>
        </w:rPr>
      </w:pPr>
      <w:r w:rsidRPr="0067610B">
        <w:rPr>
          <w:sz w:val="24"/>
          <w:szCs w:val="24"/>
        </w:rPr>
        <w:t>Orthogonality</w:t>
      </w:r>
      <w:r w:rsidR="00291A7C" w:rsidRPr="0067610B">
        <w:rPr>
          <w:sz w:val="24"/>
          <w:szCs w:val="24"/>
        </w:rPr>
        <w:t xml:space="preserve"> is a common metaphor in Synthetic Biology</w:t>
      </w:r>
      <w:r w:rsidR="00291A7C" w:rsidRPr="0067610B">
        <w:rPr>
          <w:sz w:val="24"/>
          <w:szCs w:val="24"/>
        </w:rPr>
        <w:fldChar w:fldCharType="begin" w:fldLock="1"/>
      </w:r>
      <w:r w:rsidR="00855FBA">
        <w:rPr>
          <w:sz w:val="24"/>
          <w:szCs w:val="24"/>
        </w:rPr>
        <w:instrText>ADDIN CSL_CITATION {"citationItems":[{"id":"ITEM-1","itemData":{"DOI":"10.4161/bbug.2.1.13388","ISSN":"1949-1018","author":[{"dropping-particle":"","family":"Lorenzo","given":"Víctor","non-dropping-particle":"de","parse-names":false,"suffix":""}],"container-title":"Bioengineered Bugs","id":"ITEM-1","issue":"1","issued":{"date-parts":[["2011","1","21"]]},"page":"3-7","title":"Beware of metaphors: Chasses and orthogonality in synthetic biology","type":"article-journal","volume":"2"},"uris":["http://www.mendeley.com/documents/?uuid=9d90364c-3524-3f46-b7d2-be144284351c"]}],"mendeley":{"formattedCitation":"(25)","plainTextFormattedCitation":"(25)","previouslyFormattedCitation":"[25]"},"properties":{"noteIndex":0},"schema":"https://github.com/citation-style-language/schema/raw/master/csl-citation.json"}</w:instrText>
      </w:r>
      <w:r w:rsidR="00291A7C" w:rsidRPr="0067610B">
        <w:rPr>
          <w:sz w:val="24"/>
          <w:szCs w:val="24"/>
        </w:rPr>
        <w:fldChar w:fldCharType="separate"/>
      </w:r>
      <w:r w:rsidR="00855FBA" w:rsidRPr="00855FBA">
        <w:rPr>
          <w:noProof/>
          <w:sz w:val="24"/>
          <w:szCs w:val="24"/>
        </w:rPr>
        <w:t>(25)</w:t>
      </w:r>
      <w:r w:rsidR="00291A7C" w:rsidRPr="0067610B">
        <w:rPr>
          <w:sz w:val="24"/>
          <w:szCs w:val="24"/>
        </w:rPr>
        <w:fldChar w:fldCharType="end"/>
      </w:r>
      <w:r w:rsidR="00903248" w:rsidRPr="0067610B">
        <w:rPr>
          <w:sz w:val="24"/>
          <w:szCs w:val="24"/>
        </w:rPr>
        <w:t xml:space="preserve">, representing a biological circuit or process that can operate </w:t>
      </w:r>
      <w:r w:rsidR="0091569C" w:rsidRPr="0067610B">
        <w:rPr>
          <w:sz w:val="24"/>
          <w:szCs w:val="24"/>
        </w:rPr>
        <w:t>independently and without interference from its natural equivalent</w:t>
      </w:r>
      <w:r w:rsidR="008E3246" w:rsidRPr="0067610B">
        <w:rPr>
          <w:sz w:val="24"/>
          <w:szCs w:val="24"/>
        </w:rPr>
        <w:fldChar w:fldCharType="begin" w:fldLock="1"/>
      </w:r>
      <w:r w:rsidR="00855FBA">
        <w:rPr>
          <w:sz w:val="24"/>
          <w:szCs w:val="24"/>
        </w:rPr>
        <w:instrText>ADDIN CSL_CITATION {"citationItems":[{"id":"ITEM-1","itemData":{"DOI":"10.1038/nchembio.2554","ISSN":"1552-4450","PMID":"29337969","abstract":"The central dogma processes of DNA replication, transcription, and translation are responsible for the maintenance and expression of every gene in an organism. An orthogonal central dogma may insulate genetic programs from host regulation and allow expansion of the roles of these processes within the cell.","author":[{"dropping-particle":"","family":"Liu","given":"Chang C.","non-dropping-particle":"","parse-names":false,"suffix":""},{"dropping-particle":"","family":"Jewett","given":"Michael C.","non-dropping-particle":"","parse-names":false,"suffix":""},{"dropping-particle":"","family":"Chin","given":"Jason W.","non-dropping-particle":"","parse-names":false,"suffix":""},{"dropping-particle":"","family":"Voigt","given":"Chris A.","non-dropping-particle":"","parse-names":false,"suffix":""}],"container-title":"Nature Chemical Biology","id":"ITEM-1","issue":"2","issued":{"date-parts":[["2018","2","16"]]},"page":"103-106","publisher":"Nature Publishing Group","title":"Toward an orthogonal central dogma","type":"article-journal","volume":"14"},"uris":["http://www.mendeley.com/documents/?uuid=dc06aeea-de57-33c3-ac35-e513a1a1f815"]},{"id":"ITEM-2","itemData":{"DOI":"10.1016/j.tibtech.2020.05.013","ISSN":"01677799","PMID":"32586633","abstract":"Synthetic biology strives to reliably control cellular behavior, typically in the form of user-designed interactions of biological components to produce a predetermined output. Engineered circuit components are frequently derived from natural sources and are therefore often hampered by inadvertent interactions with host machinery, most notably within the host central dogma. Reliable and predictable gene circuits require the targeted reduction or elimination of these undesirable interactions to mitigate negative consequences on host fitness and develop context-independent bioactivities. Here, we review recent advances in biological orthogonalization, namely the insulation of researcher-dictated bioactivities from host processes, with a focus on systematic developments that may culminate in the creation of an orthogonal central dogma and novel cellular functions.","author":[{"dropping-particle":"","family":"Costello","given":"Alan","non-dropping-particle":"","parse-names":false,"suffix":""},{"dropping-particle":"","family":"Badran","given":"Ahmed H.","non-dropping-particle":"","parse-names":false,"suffix":""}],"container-title":"Trends in Biotechnology","id":"ITEM-2","issue":"1","issued":{"date-parts":[["2021","1","1"]]},"page":"59-71","publisher":"Elsevier Ltd","title":"Synthetic Biological Circuits within an Orthogonal Central Dogma","type":"article-journal","volume":"39"},"uris":["http://www.mendeley.com/documents/?uuid=9990ea56-2c73-34e9-bb35-078eb2ce22aa"]}],"mendeley":{"formattedCitation":"(26, 27)","plainTextFormattedCitation":"(26, 27)","previouslyFormattedCitation":"[26,27]"},"properties":{"noteIndex":0},"schema":"https://github.com/citation-style-language/schema/raw/master/csl-citation.json"}</w:instrText>
      </w:r>
      <w:r w:rsidR="008E3246" w:rsidRPr="0067610B">
        <w:rPr>
          <w:sz w:val="24"/>
          <w:szCs w:val="24"/>
        </w:rPr>
        <w:fldChar w:fldCharType="separate"/>
      </w:r>
      <w:r w:rsidR="00855FBA" w:rsidRPr="00855FBA">
        <w:rPr>
          <w:noProof/>
          <w:sz w:val="24"/>
          <w:szCs w:val="24"/>
        </w:rPr>
        <w:t>(26, 27)</w:t>
      </w:r>
      <w:r w:rsidR="008E3246" w:rsidRPr="0067610B">
        <w:rPr>
          <w:sz w:val="24"/>
          <w:szCs w:val="24"/>
        </w:rPr>
        <w:fldChar w:fldCharType="end"/>
      </w:r>
      <w:r w:rsidR="0091569C" w:rsidRPr="0067610B">
        <w:rPr>
          <w:sz w:val="24"/>
          <w:szCs w:val="24"/>
        </w:rPr>
        <w:t>.</w:t>
      </w:r>
      <w:r w:rsidR="007A132E" w:rsidRPr="0067610B">
        <w:rPr>
          <w:sz w:val="24"/>
          <w:szCs w:val="24"/>
        </w:rPr>
        <w:t xml:space="preserve"> </w:t>
      </w:r>
      <w:r w:rsidR="00F34057" w:rsidRPr="0067610B">
        <w:rPr>
          <w:sz w:val="24"/>
          <w:szCs w:val="24"/>
        </w:rPr>
        <w:t>In addition to its potential role in the biocontainment of engineered organisms</w:t>
      </w:r>
      <w:r w:rsidR="004D192C" w:rsidRPr="0067610B">
        <w:rPr>
          <w:sz w:val="24"/>
          <w:szCs w:val="24"/>
        </w:rPr>
        <w:fldChar w:fldCharType="begin" w:fldLock="1"/>
      </w:r>
      <w:r w:rsidR="00855FBA">
        <w:rPr>
          <w:sz w:val="24"/>
          <w:szCs w:val="24"/>
        </w:rPr>
        <w:instrText>ADDIN CSL_CITATION {"citationItems":[{"id":"ITEM-1","itemData":{"DOI":"10.1042/EBC20160013","ISSN":"00711365","abstract":"©2016 The Author(s). Biocontainment comprises any strategy applied to ensure that harmful organisms are confined to controlled laboratory conditions and not allowed to escape into the environment. Genetically engineered microorganisms (GEMs), regardless of the nature of the modification and how it was established, have potential human or ecological impact if accidentally leaked or voluntarily released into a natural setting. Although all evidence to date is that GEMs are unable to compete in the environment, the power of synthetic biology to rewrite life requires a pre-emptive strategy to tackle possible unknown risks. Physical containment barriers have proven effective but a number of strategies have been developed to further strengthen biocontainment. Research on complex genetic circuits, lethal genes, alternative nucleic acids, genome recoding and synthetic auxotrophies aim to design more effective routes towards biocontainment. Here, we describe recent advances in synthetic biology that contribute to the ongoing efforts to develop new and improved genetic, semantic, metabolic and mechanistic plans for the containment of GEMs.","author":[{"dropping-particle":"","family":"Torres","given":"L.","non-dropping-particle":"","parse-names":false,"suffix":""},{"dropping-particle":"","family":"Krüger","given":"A.","non-dropping-particle":"","parse-names":false,"suffix":""},{"dropping-particle":"","family":"Csibra","given":"E.","non-dropping-particle":"","parse-names":false,"suffix":""},{"dropping-particle":"","family":"Gianni","given":"E.","non-dropping-particle":"","parse-names":false,"suffix":""},{"dropping-particle":"","family":"Pinheiro","given":"V.B. B","non-dropping-particle":"","parse-names":false,"suffix":""}],"container-title":"Essays in Biochemistry","id":"ITEM-1","issue":"4","issued":{"date-parts":[["2016"]]},"title":"Synthetic biology approaches to biological containment: Pre-emptively tackling potential risks","type":"article-journal","volume":"60"},"uris":["http://www.mendeley.com/documents/?uuid=af11463d-cc89-476f-b772-dcff5a674a19"]}],"mendeley":{"formattedCitation":"(28)","plainTextFormattedCitation":"(28)","previouslyFormattedCitation":"[28]"},"properties":{"noteIndex":0},"schema":"https://github.com/citation-style-language/schema/raw/master/csl-citation.json"}</w:instrText>
      </w:r>
      <w:r w:rsidR="004D192C" w:rsidRPr="0067610B">
        <w:rPr>
          <w:sz w:val="24"/>
          <w:szCs w:val="24"/>
        </w:rPr>
        <w:fldChar w:fldCharType="separate"/>
      </w:r>
      <w:r w:rsidR="00855FBA" w:rsidRPr="00855FBA">
        <w:rPr>
          <w:noProof/>
          <w:sz w:val="24"/>
          <w:szCs w:val="24"/>
        </w:rPr>
        <w:t>(28)</w:t>
      </w:r>
      <w:r w:rsidR="004D192C" w:rsidRPr="0067610B">
        <w:rPr>
          <w:sz w:val="24"/>
          <w:szCs w:val="24"/>
        </w:rPr>
        <w:fldChar w:fldCharType="end"/>
      </w:r>
      <w:r w:rsidR="004D192C" w:rsidRPr="0067610B">
        <w:rPr>
          <w:sz w:val="24"/>
          <w:szCs w:val="24"/>
        </w:rPr>
        <w:t>, ortho</w:t>
      </w:r>
      <w:r w:rsidR="00F30827" w:rsidRPr="0067610B">
        <w:rPr>
          <w:sz w:val="24"/>
          <w:szCs w:val="24"/>
        </w:rPr>
        <w:t>gonal systems can be easier to engineer</w:t>
      </w:r>
      <w:r w:rsidR="007F251F" w:rsidRPr="0067610B">
        <w:rPr>
          <w:sz w:val="24"/>
          <w:szCs w:val="24"/>
        </w:rPr>
        <w:t xml:space="preserve"> (</w:t>
      </w:r>
      <w:r w:rsidR="00D860ED" w:rsidRPr="0067610B">
        <w:rPr>
          <w:sz w:val="24"/>
          <w:szCs w:val="24"/>
        </w:rPr>
        <w:t>increased modularity)</w:t>
      </w:r>
      <w:r w:rsidR="00AD51EF" w:rsidRPr="0067610B">
        <w:rPr>
          <w:sz w:val="24"/>
          <w:szCs w:val="24"/>
        </w:rPr>
        <w:t xml:space="preserve"> and </w:t>
      </w:r>
      <w:r w:rsidR="00F66F83" w:rsidRPr="0067610B">
        <w:rPr>
          <w:sz w:val="24"/>
          <w:szCs w:val="24"/>
        </w:rPr>
        <w:t>control</w:t>
      </w:r>
      <w:r w:rsidR="00D860ED" w:rsidRPr="0067610B">
        <w:rPr>
          <w:sz w:val="24"/>
          <w:szCs w:val="24"/>
        </w:rPr>
        <w:t xml:space="preserve"> (fewer interactions with the natural cellular components)</w:t>
      </w:r>
      <w:r w:rsidR="00F66F83" w:rsidRPr="0067610B">
        <w:rPr>
          <w:sz w:val="24"/>
          <w:szCs w:val="24"/>
        </w:rPr>
        <w:t xml:space="preserve">. </w:t>
      </w:r>
      <w:r w:rsidR="00C17B57" w:rsidRPr="0067610B">
        <w:rPr>
          <w:sz w:val="24"/>
          <w:szCs w:val="24"/>
        </w:rPr>
        <w:t xml:space="preserve">Directed evolution has been successfully </w:t>
      </w:r>
      <w:r w:rsidR="000D27D3" w:rsidRPr="0067610B">
        <w:rPr>
          <w:sz w:val="24"/>
          <w:szCs w:val="24"/>
        </w:rPr>
        <w:t>applied for the isolation of orthogonal tRNA synthetases</w:t>
      </w:r>
      <w:r w:rsidR="00B073E3" w:rsidRPr="0067610B">
        <w:rPr>
          <w:sz w:val="24"/>
          <w:szCs w:val="24"/>
        </w:rPr>
        <w:fldChar w:fldCharType="begin" w:fldLock="1"/>
      </w:r>
      <w:r w:rsidR="00855FBA">
        <w:rPr>
          <w:sz w:val="24"/>
          <w:szCs w:val="24"/>
        </w:rPr>
        <w:instrText>ADDIN CSL_CITATION {"citationItems":[{"id":"ITEM-1","itemData":{"DOI":"10.1021/ja9068722","ISSN":"1520-5126","PMID":"20121121","abstract":"The genetic code sets the correspondence between codons and the amino acids they encode in protein translation. The code is enforced by aminoacyl-tRNA synthetase/tRNA pairs, which direct the unique coupling of specific amino acids with specific anticodons. The evolutionary record suggests that a primitive genetic code expanded into the current genetic code, over billions of years, through duplication and specialization (neofunctionalization) of aminoacyl-tRNA synthetases and tRNAs from common ancestral synthetase/tRNA pairs. This process produced the current set of mutually orthogonal aminoacyl-tRNA synthetases and tRNAs that direct natural protein synthesis. Here we demonstrate the creation of new orthogonal pairs, which are mutually orthogonal with existing orthogonal pairs, de novo, by a logical series of steps implemented in the laboratory, via the de novo generation of orthogonality in RNA-RNA interactions, protein-RNA interactions, and small molecule substrate selection by protein catalysts. Our laboratory evolution experiments provide experimental evidence for duplication and specialization as a plausible route to the current set of synthetases and tRNAs via natural evolution. Moreover our experiments extend billions of years of natural evolution and demonstrate that the small number of naturally occurring orthogonal aminoacyl-tRNA synthetase/tRNA pairs do not place an intrinsic limitation on the scope of synthetic genetic code expansion for the incorporation of multiple distinct unnatural amino acids into proteins or the synthesis and evolution of unnatural polymers in cells.","author":[{"dropping-particle":"","family":"Neumann","given":"Heinz","non-dropping-particle":"","parse-names":false,"suffix":""},{"dropping-particle":"","family":"Slusarczyk","given":"Adrian L.","non-dropping-particle":"","parse-names":false,"suffix":""},{"dropping-particle":"","family":"Chin","given":"Jason W.","non-dropping-particle":"","parse-names":false,"suffix":""}],"container-title":"Journal of the American Chemical Society","id":"ITEM-1","issue":"7","issued":{"date-parts":[["2010","2","24"]]},"page":"2142-4","publisher":"J Am Chem Soc","title":"De novo generation of mutually orthogonal aminoacyl-tRNA synthetase/tRNA pairs.","type":"article-journal","volume":"132"},"uris":["http://www.mendeley.com/documents/?uuid=1c7e9104-4cf7-3995-90a5-fcd5aac8b845"]}],"mendeley":{"formattedCitation":"(29)","plainTextFormattedCitation":"(29)","previouslyFormattedCitation":"[29]"},"properties":{"noteIndex":0},"schema":"https://github.com/citation-style-language/schema/raw/master/csl-citation.json"}</w:instrText>
      </w:r>
      <w:r w:rsidR="00B073E3" w:rsidRPr="0067610B">
        <w:rPr>
          <w:sz w:val="24"/>
          <w:szCs w:val="24"/>
        </w:rPr>
        <w:fldChar w:fldCharType="separate"/>
      </w:r>
      <w:r w:rsidR="00855FBA" w:rsidRPr="00855FBA">
        <w:rPr>
          <w:noProof/>
          <w:sz w:val="24"/>
          <w:szCs w:val="24"/>
        </w:rPr>
        <w:t>(29)</w:t>
      </w:r>
      <w:r w:rsidR="00B073E3" w:rsidRPr="0067610B">
        <w:rPr>
          <w:sz w:val="24"/>
          <w:szCs w:val="24"/>
        </w:rPr>
        <w:fldChar w:fldCharType="end"/>
      </w:r>
      <w:r w:rsidR="000D27D3" w:rsidRPr="0067610B">
        <w:rPr>
          <w:sz w:val="24"/>
          <w:szCs w:val="24"/>
        </w:rPr>
        <w:t>, bacterial two-component signalling systems</w:t>
      </w:r>
      <w:r w:rsidR="003177AA" w:rsidRPr="0067610B">
        <w:rPr>
          <w:sz w:val="24"/>
          <w:szCs w:val="24"/>
        </w:rPr>
        <w:fldChar w:fldCharType="begin" w:fldLock="1"/>
      </w:r>
      <w:r w:rsidR="00855FBA">
        <w:rPr>
          <w:sz w:val="24"/>
          <w:szCs w:val="24"/>
        </w:rPr>
        <w:instrText>ADDIN CSL_CITATION {"citationItems":[{"id":"ITEM-1","itemData":{"DOI":"10.1038/s41586-019-1639-8","ISSN":"1476-4687","PMID":"31645757","abstract":"Gene duplication is a common and powerful mechanism by which cells create new signalling pathways1,2, but recently duplicated proteins typically must become insulated from each other and from other paralogues to prevent unwanted crosstalk3. A similar challenge arises when new sensors or synthetic signalling pathways are engineered within cells or transferred between genomes. How easily new pathways can be introduced into cells depends on the density and distribution of paralogous pathways in the sequence space that is defined by their specificity-determining residues4,5. Here we directly investigate how crowded this sequence space is, by generating novel two-component signalling proteins in Escherichia coli using cell sorting coupled to deep sequencing to analyse large libraries designed on the basis of coevolutionary patterns. We produce 58 insulated pathways comprising functional kinase-substrate pairs that have different specificities than their parent proteins, and demonstrate that several of these new pairs are orthogonal to all 27 paralogous pathways in E. coli. Additionally, from the kinase-substrate pairs generated, we identify sets consisting of six pairs that are mutually orthogonal to each other, which considerably increases the two-component signalling capacity of E. coli. These results indicate that sequence space is not densely occupied. The relative sparsity of paralogues in sequence space suggests that new insulated pathways can arise easily during evolution, or be designed de novo. We demonstrate the latter by engineering a signalling pathway in E. coli that responds to a plant cytokinin, without crosstalk to extant pathways. Our work also demonstrates how coevolution-guided mutagenesis and the mapping of sequence space can be used to design large sets of orthogonal protein-protein interactions.","author":[{"dropping-particle":"","family":"McClune","given":"Conor J.","non-dropping-particle":"","parse-names":false,"suffix":""},{"dropping-particle":"","family":"Alvarez-Buylla","given":"Aurora","non-dropping-particle":"","parse-names":false,"suffix":""},{"dropping-particle":"","family":"Voigt","given":"Christopher A.","non-dropping-particle":"","parse-names":false,"suffix":""},{"dropping-particle":"","family":"Laub","given":"Michael T.","non-dropping-particle":"","parse-names":false,"suffix":""}],"container-title":"Nature","id":"ITEM-1","issue":"7780","issued":{"date-parts":[["2019","10","31"]]},"page":"702-706","publisher":"Nature Publishing Group","title":"Engineering orthogonal signalling pathways reveals the sparse occupancy of sequence space.","type":"article-journal","volume":"574"},"uris":["http://www.mendeley.com/documents/?uuid=24a6291e-fa44-38d7-b4c5-7d8ac302eff1"]}],"mendeley":{"formattedCitation":"(30)","plainTextFormattedCitation":"(30)","previouslyFormattedCitation":"[30]"},"properties":{"noteIndex":0},"schema":"https://github.com/citation-style-language/schema/raw/master/csl-citation.json"}</w:instrText>
      </w:r>
      <w:r w:rsidR="003177AA" w:rsidRPr="0067610B">
        <w:rPr>
          <w:sz w:val="24"/>
          <w:szCs w:val="24"/>
        </w:rPr>
        <w:fldChar w:fldCharType="separate"/>
      </w:r>
      <w:r w:rsidR="00855FBA" w:rsidRPr="00855FBA">
        <w:rPr>
          <w:noProof/>
          <w:sz w:val="24"/>
          <w:szCs w:val="24"/>
        </w:rPr>
        <w:t>(30)</w:t>
      </w:r>
      <w:r w:rsidR="003177AA" w:rsidRPr="0067610B">
        <w:rPr>
          <w:sz w:val="24"/>
          <w:szCs w:val="24"/>
        </w:rPr>
        <w:fldChar w:fldCharType="end"/>
      </w:r>
      <w:r w:rsidR="000D27D3" w:rsidRPr="0067610B">
        <w:rPr>
          <w:sz w:val="24"/>
          <w:szCs w:val="24"/>
        </w:rPr>
        <w:t xml:space="preserve"> among other examples.</w:t>
      </w:r>
    </w:p>
    <w:p w14:paraId="74EC30D6" w14:textId="62F7EDC9" w:rsidR="00D12395" w:rsidRDefault="00A47D35" w:rsidP="0067610B">
      <w:pPr>
        <w:spacing w:line="360" w:lineRule="auto"/>
        <w:jc w:val="both"/>
        <w:rPr>
          <w:sz w:val="24"/>
          <w:szCs w:val="24"/>
        </w:rPr>
      </w:pPr>
      <w:r w:rsidRPr="0067610B">
        <w:rPr>
          <w:sz w:val="24"/>
          <w:szCs w:val="24"/>
        </w:rPr>
        <w:t>Here, we report the directed evolution and characterisation of multiple new colE1</w:t>
      </w:r>
      <w:r w:rsidR="00F048B1" w:rsidRPr="0067610B">
        <w:rPr>
          <w:sz w:val="24"/>
          <w:szCs w:val="24"/>
        </w:rPr>
        <w:t>-type</w:t>
      </w:r>
      <w:r w:rsidRPr="0067610B">
        <w:rPr>
          <w:sz w:val="24"/>
          <w:szCs w:val="24"/>
        </w:rPr>
        <w:t xml:space="preserve"> plasmid origins</w:t>
      </w:r>
      <w:r w:rsidR="007260CE" w:rsidRPr="0067610B">
        <w:rPr>
          <w:sz w:val="24"/>
          <w:szCs w:val="24"/>
        </w:rPr>
        <w:t xml:space="preserve"> (compatible</w:t>
      </w:r>
      <w:r w:rsidR="00F048B1" w:rsidRPr="0067610B">
        <w:rPr>
          <w:sz w:val="24"/>
          <w:szCs w:val="24"/>
        </w:rPr>
        <w:t xml:space="preserve"> with the standard ColE1)</w:t>
      </w:r>
      <w:r w:rsidR="007260CE" w:rsidRPr="0067610B">
        <w:rPr>
          <w:sz w:val="24"/>
          <w:szCs w:val="24"/>
        </w:rPr>
        <w:t xml:space="preserve"> </w:t>
      </w:r>
      <w:r w:rsidR="009F2170" w:rsidRPr="0067610B">
        <w:rPr>
          <w:sz w:val="24"/>
          <w:szCs w:val="24"/>
        </w:rPr>
        <w:t xml:space="preserve">based on diversification of </w:t>
      </w:r>
      <w:r w:rsidR="001F5E62" w:rsidRPr="0067610B">
        <w:rPr>
          <w:sz w:val="24"/>
          <w:szCs w:val="24"/>
        </w:rPr>
        <w:t xml:space="preserve">the RNAI loops involved in the initial RNAI/RNAII interactions. </w:t>
      </w:r>
      <w:r w:rsidR="00B736EF" w:rsidRPr="0067610B">
        <w:rPr>
          <w:sz w:val="24"/>
          <w:szCs w:val="24"/>
        </w:rPr>
        <w:t xml:space="preserve">We </w:t>
      </w:r>
      <w:r w:rsidR="00752127" w:rsidRPr="0067610B">
        <w:rPr>
          <w:sz w:val="24"/>
          <w:szCs w:val="24"/>
        </w:rPr>
        <w:t xml:space="preserve">show that plasmid </w:t>
      </w:r>
      <w:r w:rsidR="00C9742A" w:rsidRPr="0067610B">
        <w:rPr>
          <w:sz w:val="24"/>
          <w:szCs w:val="24"/>
        </w:rPr>
        <w:t xml:space="preserve">compatibility </w:t>
      </w:r>
      <w:r w:rsidR="00752127" w:rsidRPr="0067610B">
        <w:rPr>
          <w:sz w:val="24"/>
          <w:szCs w:val="24"/>
        </w:rPr>
        <w:t>is a useful testbed</w:t>
      </w:r>
      <w:r w:rsidR="00C9742A" w:rsidRPr="0067610B">
        <w:rPr>
          <w:sz w:val="24"/>
          <w:szCs w:val="24"/>
        </w:rPr>
        <w:t xml:space="preserve"> for studying biological orthogonality</w:t>
      </w:r>
      <w:r w:rsidR="00875654" w:rsidRPr="0067610B">
        <w:rPr>
          <w:sz w:val="24"/>
          <w:szCs w:val="24"/>
        </w:rPr>
        <w:t xml:space="preserve">, demonstrating that it is a continuum and that distance between states can be measured. </w:t>
      </w:r>
      <w:r w:rsidR="00AC6654" w:rsidRPr="0067610B">
        <w:rPr>
          <w:sz w:val="24"/>
          <w:szCs w:val="24"/>
        </w:rPr>
        <w:t>We also identify possible routes towards the precise engineering of plasmid copy numbers.</w:t>
      </w:r>
    </w:p>
    <w:p w14:paraId="5C6A35E6" w14:textId="044F582E" w:rsidR="008B7A48" w:rsidRPr="008B7A48" w:rsidRDefault="008B7A48" w:rsidP="0067610B">
      <w:pPr>
        <w:spacing w:line="360" w:lineRule="auto"/>
        <w:jc w:val="both"/>
        <w:rPr>
          <w:b/>
          <w:bCs/>
          <w:sz w:val="24"/>
          <w:szCs w:val="24"/>
        </w:rPr>
      </w:pPr>
      <w:r w:rsidRPr="008B7A48">
        <w:rPr>
          <w:b/>
          <w:bCs/>
          <w:sz w:val="24"/>
          <w:szCs w:val="24"/>
        </w:rPr>
        <w:t>Material and Methods</w:t>
      </w:r>
    </w:p>
    <w:p w14:paraId="04B7DC23" w14:textId="77777777" w:rsidR="008B7A48" w:rsidRPr="008B7A48" w:rsidRDefault="008B7A48" w:rsidP="008B7A48">
      <w:pPr>
        <w:spacing w:line="360" w:lineRule="auto"/>
        <w:jc w:val="both"/>
        <w:rPr>
          <w:b/>
          <w:sz w:val="24"/>
          <w:szCs w:val="24"/>
        </w:rPr>
      </w:pPr>
      <w:r w:rsidRPr="008B7A48">
        <w:rPr>
          <w:b/>
          <w:sz w:val="24"/>
          <w:szCs w:val="24"/>
        </w:rPr>
        <w:t>Bacterial strains, media, and culture conditions</w:t>
      </w:r>
    </w:p>
    <w:p w14:paraId="1C84CE9C" w14:textId="7990FD45" w:rsidR="008B7A48" w:rsidRPr="008B7A48" w:rsidRDefault="008B7A48" w:rsidP="008B7A48">
      <w:pPr>
        <w:spacing w:line="360" w:lineRule="auto"/>
        <w:jc w:val="both"/>
        <w:rPr>
          <w:sz w:val="24"/>
          <w:szCs w:val="24"/>
        </w:rPr>
      </w:pPr>
      <w:r w:rsidRPr="008B7A48">
        <w:rPr>
          <w:i/>
          <w:sz w:val="24"/>
          <w:szCs w:val="24"/>
        </w:rPr>
        <w:lastRenderedPageBreak/>
        <w:t>E. coli</w:t>
      </w:r>
      <w:r w:rsidRPr="008B7A48">
        <w:rPr>
          <w:sz w:val="24"/>
          <w:szCs w:val="24"/>
        </w:rPr>
        <w:t xml:space="preserve"> DH5α (genotype: F</w:t>
      </w:r>
      <w:r w:rsidRPr="008B7A48">
        <w:rPr>
          <w:sz w:val="24"/>
          <w:szCs w:val="24"/>
          <w:vertAlign w:val="superscript"/>
        </w:rPr>
        <w:t>–</w:t>
      </w:r>
      <w:r w:rsidRPr="008B7A48">
        <w:rPr>
          <w:sz w:val="24"/>
          <w:szCs w:val="24"/>
        </w:rPr>
        <w:t>, φ80d</w:t>
      </w:r>
      <w:r w:rsidRPr="008B7A48">
        <w:rPr>
          <w:i/>
          <w:iCs/>
          <w:sz w:val="24"/>
          <w:szCs w:val="24"/>
        </w:rPr>
        <w:t>lacZ</w:t>
      </w:r>
      <w:r w:rsidRPr="008B7A48">
        <w:rPr>
          <w:sz w:val="24"/>
          <w:szCs w:val="24"/>
        </w:rPr>
        <w:t>ΔM15, Δ(</w:t>
      </w:r>
      <w:r w:rsidRPr="008B7A48">
        <w:rPr>
          <w:i/>
          <w:iCs/>
          <w:sz w:val="24"/>
          <w:szCs w:val="24"/>
        </w:rPr>
        <w:t>lacZYA-argF</w:t>
      </w:r>
      <w:r w:rsidRPr="008B7A48">
        <w:rPr>
          <w:sz w:val="24"/>
          <w:szCs w:val="24"/>
        </w:rPr>
        <w:t xml:space="preserve">), U169, </w:t>
      </w:r>
      <w:r w:rsidRPr="008B7A48">
        <w:rPr>
          <w:i/>
          <w:iCs/>
          <w:sz w:val="24"/>
          <w:szCs w:val="24"/>
        </w:rPr>
        <w:t>end</w:t>
      </w:r>
      <w:r w:rsidRPr="008B7A48">
        <w:rPr>
          <w:sz w:val="24"/>
          <w:szCs w:val="24"/>
        </w:rPr>
        <w:t xml:space="preserve">A1, </w:t>
      </w:r>
      <w:r w:rsidRPr="008B7A48">
        <w:rPr>
          <w:i/>
          <w:iCs/>
          <w:sz w:val="24"/>
          <w:szCs w:val="24"/>
        </w:rPr>
        <w:t>hsd</w:t>
      </w:r>
      <w:r w:rsidRPr="008B7A48">
        <w:rPr>
          <w:sz w:val="24"/>
          <w:szCs w:val="24"/>
        </w:rPr>
        <w:t>R17(r</w:t>
      </w:r>
      <w:r w:rsidRPr="008B7A48">
        <w:rPr>
          <w:sz w:val="24"/>
          <w:szCs w:val="24"/>
          <w:vertAlign w:val="subscript"/>
        </w:rPr>
        <w:t>K</w:t>
      </w:r>
      <w:r w:rsidRPr="008B7A48">
        <w:rPr>
          <w:sz w:val="24"/>
          <w:szCs w:val="24"/>
          <w:vertAlign w:val="superscript"/>
        </w:rPr>
        <w:t>–</w:t>
      </w:r>
      <w:r w:rsidRPr="008B7A48">
        <w:rPr>
          <w:sz w:val="24"/>
          <w:szCs w:val="24"/>
        </w:rPr>
        <w:t>, m</w:t>
      </w:r>
      <w:r w:rsidRPr="008B7A48">
        <w:rPr>
          <w:sz w:val="24"/>
          <w:szCs w:val="24"/>
          <w:vertAlign w:val="subscript"/>
        </w:rPr>
        <w:t>K</w:t>
      </w:r>
      <w:r w:rsidRPr="008B7A48">
        <w:rPr>
          <w:sz w:val="24"/>
          <w:szCs w:val="24"/>
          <w:vertAlign w:val="superscript"/>
        </w:rPr>
        <w:t>+</w:t>
      </w:r>
      <w:r w:rsidRPr="008B7A48">
        <w:rPr>
          <w:sz w:val="24"/>
          <w:szCs w:val="24"/>
        </w:rPr>
        <w:t xml:space="preserve">), </w:t>
      </w:r>
      <w:r w:rsidRPr="008B7A48">
        <w:rPr>
          <w:i/>
          <w:iCs/>
          <w:sz w:val="24"/>
          <w:szCs w:val="24"/>
        </w:rPr>
        <w:t>recA</w:t>
      </w:r>
      <w:r w:rsidRPr="008B7A48">
        <w:rPr>
          <w:sz w:val="24"/>
          <w:szCs w:val="24"/>
        </w:rPr>
        <w:t xml:space="preserve">1, </w:t>
      </w:r>
      <w:r w:rsidRPr="008B7A48">
        <w:rPr>
          <w:i/>
          <w:iCs/>
          <w:sz w:val="24"/>
          <w:szCs w:val="24"/>
        </w:rPr>
        <w:t>rel</w:t>
      </w:r>
      <w:r w:rsidRPr="008B7A48">
        <w:rPr>
          <w:sz w:val="24"/>
          <w:szCs w:val="24"/>
        </w:rPr>
        <w:t xml:space="preserve">A1, </w:t>
      </w:r>
      <w:r w:rsidRPr="008B7A48">
        <w:rPr>
          <w:i/>
          <w:iCs/>
          <w:sz w:val="24"/>
          <w:szCs w:val="24"/>
        </w:rPr>
        <w:t>pho</w:t>
      </w:r>
      <w:r w:rsidRPr="008B7A48">
        <w:rPr>
          <w:sz w:val="24"/>
          <w:szCs w:val="24"/>
        </w:rPr>
        <w:t xml:space="preserve">A, </w:t>
      </w:r>
      <w:r w:rsidRPr="008B7A48">
        <w:rPr>
          <w:i/>
          <w:iCs/>
          <w:sz w:val="24"/>
          <w:szCs w:val="24"/>
        </w:rPr>
        <w:t>sup</w:t>
      </w:r>
      <w:r w:rsidRPr="008B7A48">
        <w:rPr>
          <w:sz w:val="24"/>
          <w:szCs w:val="24"/>
        </w:rPr>
        <w:t xml:space="preserve">E44, </w:t>
      </w:r>
      <w:r w:rsidRPr="008B7A48">
        <w:rPr>
          <w:i/>
          <w:iCs/>
          <w:sz w:val="24"/>
          <w:szCs w:val="24"/>
        </w:rPr>
        <w:t>thi</w:t>
      </w:r>
      <w:r w:rsidRPr="008B7A48">
        <w:rPr>
          <w:sz w:val="24"/>
          <w:szCs w:val="24"/>
        </w:rPr>
        <w:t xml:space="preserve">-1, </w:t>
      </w:r>
      <w:r w:rsidRPr="008B7A48">
        <w:rPr>
          <w:i/>
          <w:iCs/>
          <w:sz w:val="24"/>
          <w:szCs w:val="24"/>
        </w:rPr>
        <w:t>gyr</w:t>
      </w:r>
      <w:r w:rsidRPr="008B7A48">
        <w:rPr>
          <w:sz w:val="24"/>
          <w:szCs w:val="24"/>
        </w:rPr>
        <w:t>A96, λ–) was used in all experiments. Cells were grown in Lysogeny broth (LB) medium (1% (w/v) tryptone, 0.5% (w/v) NaCl, 0.5% (w/v) yeast extract) unless otherwise stated. Liquid cultures were grown in aerated conditions (200 RPM) at 37°C, unless otherwise stated. For growth in solid medium, 1.5% (w/v) agar was added. Recovery after transformation was carried out in SOC Outgrowth Medium (New England Biolabs). The cell density of liquid cultures was estimated by measuring turbidity at 600 nm (OD600) in a SpectroStar Nano (BMG Labtech) spectrometer after blanking with fresh media.</w:t>
      </w:r>
    </w:p>
    <w:p w14:paraId="2DF6EA60" w14:textId="77777777" w:rsidR="008B7A48" w:rsidRPr="008B7A48" w:rsidRDefault="008B7A48" w:rsidP="008B7A48">
      <w:pPr>
        <w:spacing w:line="360" w:lineRule="auto"/>
        <w:jc w:val="both"/>
        <w:rPr>
          <w:sz w:val="24"/>
          <w:szCs w:val="24"/>
        </w:rPr>
      </w:pPr>
      <w:r w:rsidRPr="008B7A48">
        <w:rPr>
          <w:sz w:val="24"/>
          <w:szCs w:val="24"/>
        </w:rPr>
        <w:t>When analysing the fluorescence of the co-transformed plasmids, several growth media were tested. These were LB/2 medium (0.5% (w/v) tryptone, 0.25% (w/v) NaCl, 0.25% (w/v) yeast extract), LB*2 medium (2% (w/v) tryptone, 1% (w/v) NaCl, 1% (w/v) yeast extract), M9 medium (Na</w:t>
      </w:r>
      <w:r w:rsidRPr="008B7A48">
        <w:rPr>
          <w:sz w:val="24"/>
          <w:szCs w:val="24"/>
          <w:vertAlign w:val="subscript"/>
        </w:rPr>
        <w:t>2</w:t>
      </w:r>
      <w:r w:rsidRPr="008B7A48">
        <w:rPr>
          <w:sz w:val="24"/>
          <w:szCs w:val="24"/>
        </w:rPr>
        <w:t>HPO</w:t>
      </w:r>
      <w:r w:rsidRPr="008B7A48">
        <w:rPr>
          <w:sz w:val="24"/>
          <w:szCs w:val="24"/>
          <w:vertAlign w:val="subscript"/>
        </w:rPr>
        <w:t>4</w:t>
      </w:r>
      <w:r w:rsidRPr="008B7A48">
        <w:rPr>
          <w:sz w:val="24"/>
          <w:szCs w:val="24"/>
        </w:rPr>
        <w:t xml:space="preserve"> 33.7 mM, KH</w:t>
      </w:r>
      <w:r w:rsidRPr="008B7A48">
        <w:rPr>
          <w:sz w:val="24"/>
          <w:szCs w:val="24"/>
          <w:vertAlign w:val="subscript"/>
        </w:rPr>
        <w:t>2</w:t>
      </w:r>
      <w:r w:rsidRPr="008B7A48">
        <w:rPr>
          <w:sz w:val="24"/>
          <w:szCs w:val="24"/>
        </w:rPr>
        <w:t>PO</w:t>
      </w:r>
      <w:r w:rsidRPr="008B7A48">
        <w:rPr>
          <w:sz w:val="24"/>
          <w:szCs w:val="24"/>
          <w:vertAlign w:val="subscript"/>
        </w:rPr>
        <w:t>4</w:t>
      </w:r>
      <w:r w:rsidRPr="008B7A48">
        <w:rPr>
          <w:sz w:val="24"/>
          <w:szCs w:val="24"/>
        </w:rPr>
        <w:t xml:space="preserve"> 22.0 mM, NaCl 8.55 mM, NH</w:t>
      </w:r>
      <w:r w:rsidRPr="008B7A48">
        <w:rPr>
          <w:sz w:val="24"/>
          <w:szCs w:val="24"/>
          <w:vertAlign w:val="subscript"/>
        </w:rPr>
        <w:t>4</w:t>
      </w:r>
      <w:r w:rsidRPr="008B7A48">
        <w:rPr>
          <w:sz w:val="24"/>
          <w:szCs w:val="24"/>
        </w:rPr>
        <w:t>Cl 9.35 mM, glucose 0.4 % (w/v), MgSO</w:t>
      </w:r>
      <w:r w:rsidRPr="008B7A48">
        <w:rPr>
          <w:sz w:val="24"/>
          <w:szCs w:val="24"/>
          <w:vertAlign w:val="subscript"/>
        </w:rPr>
        <w:t>4</w:t>
      </w:r>
      <w:r w:rsidRPr="008B7A48">
        <w:rPr>
          <w:sz w:val="24"/>
          <w:szCs w:val="24"/>
        </w:rPr>
        <w:t xml:space="preserve"> 1 mM, CaCl</w:t>
      </w:r>
      <w:r w:rsidRPr="008B7A48">
        <w:rPr>
          <w:sz w:val="24"/>
          <w:szCs w:val="24"/>
          <w:vertAlign w:val="subscript"/>
        </w:rPr>
        <w:t>2</w:t>
      </w:r>
      <w:r w:rsidRPr="008B7A48">
        <w:rPr>
          <w:sz w:val="24"/>
          <w:szCs w:val="24"/>
        </w:rPr>
        <w:t xml:space="preserve"> 0.3 mM, BME vitamins (Merck) 1X), and Mueller-Hinton (MH) medium (0.2 % (w/v) beef extract, 1.75 % (w/v) casein hydrolysate, 0.15 % (w/v) starch).</w:t>
      </w:r>
    </w:p>
    <w:p w14:paraId="748A2516" w14:textId="77777777" w:rsidR="008B7A48" w:rsidRPr="008B7A48" w:rsidRDefault="008B7A48" w:rsidP="008B7A48">
      <w:pPr>
        <w:spacing w:line="360" w:lineRule="auto"/>
        <w:jc w:val="both"/>
        <w:rPr>
          <w:b/>
          <w:sz w:val="24"/>
          <w:szCs w:val="24"/>
        </w:rPr>
      </w:pPr>
      <w:r w:rsidRPr="008B7A48">
        <w:rPr>
          <w:sz w:val="24"/>
          <w:szCs w:val="24"/>
        </w:rPr>
        <w:t>Kanamycin (50 μg/mL), Chloramphenicol (34 μg/mL) or Ampicillin (50 μg/mL) were used as selection markers. Antibiotic free-media were kept at room temperature, antibiotic stocks at -20°C and antibiotic-containing media at 4°C.</w:t>
      </w:r>
    </w:p>
    <w:p w14:paraId="72BDB061" w14:textId="77777777" w:rsidR="008B7A48" w:rsidRPr="008B7A48" w:rsidRDefault="008B7A48" w:rsidP="008B7A48">
      <w:pPr>
        <w:spacing w:line="360" w:lineRule="auto"/>
        <w:jc w:val="both"/>
        <w:rPr>
          <w:b/>
          <w:sz w:val="24"/>
          <w:szCs w:val="24"/>
        </w:rPr>
      </w:pPr>
      <w:r w:rsidRPr="008B7A48">
        <w:rPr>
          <w:b/>
          <w:sz w:val="24"/>
          <w:szCs w:val="24"/>
        </w:rPr>
        <w:t>Plasmids and libraries construction</w:t>
      </w:r>
    </w:p>
    <w:p w14:paraId="72246EF3" w14:textId="5DBA3FA3" w:rsidR="008B7A48" w:rsidRPr="008B7A48" w:rsidRDefault="008B7A48" w:rsidP="008B7A48">
      <w:pPr>
        <w:spacing w:line="360" w:lineRule="auto"/>
        <w:jc w:val="both"/>
        <w:rPr>
          <w:sz w:val="24"/>
          <w:szCs w:val="24"/>
        </w:rPr>
      </w:pPr>
      <w:r w:rsidRPr="008B7A48">
        <w:rPr>
          <w:sz w:val="24"/>
          <w:szCs w:val="24"/>
        </w:rPr>
        <w:t>The plasmids described in this work (sequences in the Supplementary Information) were assembled via Type IIS</w:t>
      </w:r>
      <w:r w:rsidRPr="008B7A48">
        <w:rPr>
          <w:sz w:val="24"/>
          <w:szCs w:val="24"/>
        </w:rPr>
        <w:fldChar w:fldCharType="begin" w:fldLock="1"/>
      </w:r>
      <w:r w:rsidR="00855FBA">
        <w:rPr>
          <w:sz w:val="24"/>
          <w:szCs w:val="24"/>
        </w:rPr>
        <w:instrText>ADDIN CSL_CITATION {"citationItems":[{"id":"ITEM-1","itemData":{"DOI":"10.1016/0378-1119(95)00731-8","ISSN":"03781119","PMID":"8626061","abstract":"A method is described for the efficient cloning of any given DNA sequence into any desired location without the limitation of naturally occurring restriction sites. The technique employs the polymerase chain reaction (PCR) combined with the capacity of the type-IIS restriction endonuclease (ENase) Eam1104I to cut outside its recognition sequence. Primers that contain the Eam1104I recognition site (5'-CTCTTC) are used to amplify the DNA fragments being manipulated. Because the ENase is inhibited by site-specific methylation in the recognition sequence, all internal Eam1104I sites present in the DNA can be protected by performing the PCR amplification in the presence of 5-methyldeoxycytosine ((m5)dCTP). The primer-encoded Eam1104I sites are not affected by the modified nucleotides (nt) since the newly synthesized strand does not contain any cytosine residues in the recognition sequence. In addition, the ENase's ability to cleave several bases downstream from its recognition site allows the removal of superfluous, terminal sequences from the amplified DNA fragments, resulting in 5' overhangs that are defined by the nt present within the cleavage site. Thus, the elimination of extraneous nt and the generation of unique, non-palindromic sticky ends permits the formation of seamless junctions in a directional fashion during the subsequent ligation event.","author":[{"dropping-particle":"","family":"Padgett","given":"Kerstein A.","non-dropping-particle":"","parse-names":false,"suffix":""},{"dropping-particle":"","family":"Sorge","given":"Joseph A.","non-dropping-particle":"","parse-names":false,"suffix":""}],"container-title":"Gene","id":"ITEM-1","issue":"1","issued":{"date-parts":[["1996","1","2"]]},"page":"31-35","publisher":"Gene","title":"Creating seamless junctions independent of restriction sites in PCR cloning","type":"article-journal","volume":"168"},"uris":["http://www.mendeley.com/documents/?uuid=3aad277f-3301-34ef-ba34-176309f8c4e1"]}],"mendeley":{"formattedCitation":"(31)","plainTextFormattedCitation":"(31)","previouslyFormattedCitation":"[31]"},"properties":{"noteIndex":0},"schema":"https://github.com/citation-style-language/schema/raw/master/csl-citation.json"}</w:instrText>
      </w:r>
      <w:r w:rsidRPr="008B7A48">
        <w:rPr>
          <w:sz w:val="24"/>
          <w:szCs w:val="24"/>
        </w:rPr>
        <w:fldChar w:fldCharType="separate"/>
      </w:r>
      <w:r w:rsidR="00855FBA" w:rsidRPr="00855FBA">
        <w:rPr>
          <w:noProof/>
          <w:sz w:val="24"/>
          <w:szCs w:val="24"/>
        </w:rPr>
        <w:t>(31)</w:t>
      </w:r>
      <w:r w:rsidRPr="008B7A48">
        <w:rPr>
          <w:sz w:val="24"/>
          <w:szCs w:val="24"/>
        </w:rPr>
        <w:fldChar w:fldCharType="end"/>
      </w:r>
      <w:r w:rsidR="0054281E">
        <w:rPr>
          <w:sz w:val="24"/>
          <w:szCs w:val="24"/>
        </w:rPr>
        <w:t xml:space="preserve"> (using BsaI or BsmB</w:t>
      </w:r>
      <w:r w:rsidR="00BF363B">
        <w:rPr>
          <w:sz w:val="24"/>
          <w:szCs w:val="24"/>
        </w:rPr>
        <w:t>I)</w:t>
      </w:r>
      <w:r w:rsidRPr="008B7A48">
        <w:rPr>
          <w:sz w:val="24"/>
          <w:szCs w:val="24"/>
        </w:rPr>
        <w:t xml:space="preserve"> or Gibson</w:t>
      </w:r>
      <w:r w:rsidRPr="008B7A48">
        <w:rPr>
          <w:sz w:val="24"/>
          <w:szCs w:val="24"/>
        </w:rPr>
        <w:fldChar w:fldCharType="begin" w:fldLock="1"/>
      </w:r>
      <w:r w:rsidR="00855FBA">
        <w:rPr>
          <w:sz w:val="24"/>
          <w:szCs w:val="24"/>
        </w:rPr>
        <w:instrText>ADDIN CSL_CITATION {"citationItems":[{"id":"ITEM-1","itemData":{"DOI":"10.1126/science.1190719","ISSN":"0036-8075","PMID":"20488990","abstract":"We report the design, synthesis, and assembly of the 1.08–mega–base pair Mycoplasma mycoides JCVI-syn1.0 genome starting from digitized genome sequence information and its transplantation into a M. capricolum recipient cell to create new M. mycoides cells that are controlled only by the synthetic chromosome. The only DNA in the cells is the designed synthetic DNA sequence, including “watermark” sequences and other designed gene deletions and polymorphisms, and mutations acquired during the building process. The new cells have expected phenotypic properties and are capable of continuous self-replication.","author":[{"dropping-particle":"","family":"Gibson","given":"Daniel G.","non-dropping-particle":"","parse-names":false,"suffix":""},{"dropping-particle":"","family":"Glass","given":"John I.","non-dropping-particle":"","parse-names":false,"suffix":""},{"dropping-particle":"","family":"Lartigue","given":"Carole","non-dropping-particle":"","parse-names":false,"suffix":""},{"dropping-particle":"","family":"Noskov","given":"Vladimir N.","non-dropping-particle":"","parse-names":false,"suffix":""},{"dropping-particle":"","family":"Chuang","given":"R.-Y.","non-dropping-particle":"","parse-names":false,"suffix":""},{"dropping-particle":"","family":"Algire","given":"Mikkel A.","non-dropping-particle":"","parse-names":false,"suffix":""},{"dropping-particle":"","family":"Benders","given":"Gwynedd A.","non-dropping-particle":"","parse-names":false,"suffix":""},{"dropping-particle":"","family":"Montague","given":"Michael G.","non-dropping-particle":"","parse-names":false,"suffix":""},{"dropping-particle":"","family":"Ma","given":"Li","non-dropping-particle":"","parse-names":false,"suffix":""},{"dropping-particle":"","family":"Moodie","given":"Monzia M.","non-dropping-particle":"","parse-names":false,"suffix":""},{"dropping-particle":"","family":"Merryman","given":"Chuck","non-dropping-particle":"","parse-names":false,"suffix":""},{"dropping-particle":"","family":"Vashee","given":"Sanjay","non-dropping-particle":"","parse-names":false,"suffix":""},{"dropping-particle":"","family":"Krishnakumar","given":"Radha","non-dropping-particle":"","parse-names":false,"suffix":""},{"dropping-particle":"","family":"Assad-Garcia","given":"Nacyra","non-dropping-particle":"","parse-names":false,"suffix":""},{"dropping-particle":"","family":"Andrews-Pfannkoch","given":"Cynthia","non-dropping-particle":"","parse-names":false,"suffix":""},{"dropping-particle":"","family":"Denisova","given":"Evgeniya A.","non-dropping-particle":"","parse-names":false,"suffix":""},{"dropping-particle":"","family":"Young","given":"Lei","non-dropping-particle":"","parse-names":false,"suffix":""},{"dropping-particle":"","family":"Qi","given":"Z.-Q.","non-dropping-particle":"","parse-names":false,"suffix":""},{"dropping-particle":"","family":"Segall-Shapiro","given":"Thomas H.","non-dropping-particle":"","parse-names":false,"suffix":""},{"dropping-particle":"","family":"Calvey","given":"Christopher H.","non-dropping-particle":"","parse-names":false,"suffix":""},{"dropping-particle":"","family":"Parmar","given":"Prashanth P.","non-dropping-particle":"","parse-names":false,"suffix":""},{"dropping-particle":"","family":"Hutchison","given":"Clyde A.","non-dropping-particle":"","parse-names":false,"suffix":""},{"dropping-particle":"","family":"Smith","given":"Hamilton O.","non-dropping-particle":"","parse-names":false,"suffix":""},{"dropping-particle":"","family":"Venter","given":"J. Craig","non-dropping-particle":"","parse-names":false,"suffix":""}],"container-title":"Science","id":"ITEM-1","issue":"5987","issued":{"date-parts":[["2010","7","2"]]},"page":"52-56","publisher":"American Association for the Advancement of Science","title":"Creation of a Bacterial Cell Controlled by a Chemically Synthesized Genome","type":"article-journal","volume":"329"},"uris":["http://www.mendeley.com/documents/?uuid=cc7be570-3c8b-399f-9cf2-b50256fde8b3"]}],"mendeley":{"formattedCitation":"(32)","plainTextFormattedCitation":"(32)","previouslyFormattedCitation":"[32]"},"properties":{"noteIndex":0},"schema":"https://github.com/citation-style-language/schema/raw/master/csl-citation.json"}</w:instrText>
      </w:r>
      <w:r w:rsidRPr="008B7A48">
        <w:rPr>
          <w:sz w:val="24"/>
          <w:szCs w:val="24"/>
        </w:rPr>
        <w:fldChar w:fldCharType="separate"/>
      </w:r>
      <w:r w:rsidR="00855FBA" w:rsidRPr="00855FBA">
        <w:rPr>
          <w:noProof/>
          <w:sz w:val="24"/>
          <w:szCs w:val="24"/>
        </w:rPr>
        <w:t>(32)</w:t>
      </w:r>
      <w:r w:rsidRPr="008B7A48">
        <w:rPr>
          <w:sz w:val="24"/>
          <w:szCs w:val="24"/>
        </w:rPr>
        <w:fldChar w:fldCharType="end"/>
      </w:r>
      <w:r w:rsidRPr="008B7A48">
        <w:rPr>
          <w:sz w:val="24"/>
          <w:szCs w:val="24"/>
        </w:rPr>
        <w:t xml:space="preserve"> assembly, from PCR-amplified or commercially synthesised (IDT, Leuven, BE) double-stranded DNA fragments, and available vectors: pET-29a (Novagen, US), pSB1C3 (iGEM Foundation), and pBAD expressing fluorescent protein variants (Addgene, UK). Primers used in the assembly of the vectors are listed in </w:t>
      </w:r>
      <w:r w:rsidRPr="008B7A48">
        <w:rPr>
          <w:b/>
          <w:bCs/>
          <w:sz w:val="24"/>
          <w:szCs w:val="24"/>
        </w:rPr>
        <w:t xml:space="preserve">SI Table </w:t>
      </w:r>
      <w:r w:rsidR="00F753B0">
        <w:rPr>
          <w:b/>
          <w:bCs/>
          <w:sz w:val="24"/>
          <w:szCs w:val="24"/>
        </w:rPr>
        <w:t>1</w:t>
      </w:r>
      <w:r w:rsidRPr="008B7A48">
        <w:rPr>
          <w:sz w:val="24"/>
          <w:szCs w:val="24"/>
        </w:rPr>
        <w:t>.</w:t>
      </w:r>
    </w:p>
    <w:p w14:paraId="7AC147E6" w14:textId="7E5F6600" w:rsidR="008B7A48" w:rsidRPr="008B7A48" w:rsidRDefault="008B7A48" w:rsidP="008B7A48">
      <w:pPr>
        <w:spacing w:line="360" w:lineRule="auto"/>
        <w:jc w:val="both"/>
        <w:rPr>
          <w:sz w:val="24"/>
          <w:szCs w:val="24"/>
        </w:rPr>
      </w:pPr>
      <w:r w:rsidRPr="008B7A48">
        <w:rPr>
          <w:sz w:val="24"/>
          <w:szCs w:val="24"/>
        </w:rPr>
        <w:t>RNAI libraries were commercially synthesised as single-stranded oligonucleotides (IDT, Leuven, BE) and PCR amplified to introduce BsaI sites used in the subsequent Type IIS cloning into a PCR-amplified pET29a backbone. Primers and PCR conditions are given in the Supplementary Information.</w:t>
      </w:r>
    </w:p>
    <w:p w14:paraId="63F04AD9" w14:textId="77777777" w:rsidR="008B7A48" w:rsidRPr="008B7A48" w:rsidRDefault="008B7A48" w:rsidP="008B7A48">
      <w:pPr>
        <w:spacing w:line="360" w:lineRule="auto"/>
        <w:jc w:val="both"/>
        <w:rPr>
          <w:b/>
          <w:sz w:val="24"/>
          <w:szCs w:val="24"/>
        </w:rPr>
      </w:pPr>
      <w:r w:rsidRPr="008B7A48">
        <w:rPr>
          <w:b/>
          <w:sz w:val="24"/>
          <w:szCs w:val="24"/>
        </w:rPr>
        <w:t>Serial cultures for microbiological compatibility assay and selection</w:t>
      </w:r>
    </w:p>
    <w:p w14:paraId="14745042" w14:textId="2451B6AF" w:rsidR="008B7A48" w:rsidRPr="008B7A48" w:rsidRDefault="008B7A48" w:rsidP="008B7A48">
      <w:pPr>
        <w:spacing w:line="360" w:lineRule="auto"/>
        <w:jc w:val="both"/>
        <w:rPr>
          <w:sz w:val="24"/>
          <w:szCs w:val="24"/>
        </w:rPr>
      </w:pPr>
      <w:r w:rsidRPr="008B7A48">
        <w:rPr>
          <w:sz w:val="24"/>
          <w:szCs w:val="24"/>
        </w:rPr>
        <w:lastRenderedPageBreak/>
        <w:t xml:space="preserve">Single plasmid or co-transformed cells were grown overnight in 5 mL of LB (in a 50 mL centrifuge tube) with the appropriate antibiotic selection (none, kanamycin 50 µg/mL, chloramphenicol 34 µg/mL, or both). Fresh cultures were inoculated from the overnight cultures (1:100) and appropriate antibiotics to start the experiments. Large-scale cultures (200 mL) were grown in 1 L conical flasks. Small-scale cultures were grown in 200 µL in flat- or round-bottom 96-well plates. </w:t>
      </w:r>
      <w:r w:rsidR="00D96478">
        <w:rPr>
          <w:sz w:val="24"/>
          <w:szCs w:val="24"/>
        </w:rPr>
        <w:t xml:space="preserve">For serial culturing, </w:t>
      </w:r>
      <w:r w:rsidR="006F0D72">
        <w:rPr>
          <w:sz w:val="24"/>
          <w:szCs w:val="24"/>
        </w:rPr>
        <w:t>passaging was done after 24 h growth</w:t>
      </w:r>
      <w:r w:rsidR="00D377B6">
        <w:rPr>
          <w:sz w:val="24"/>
          <w:szCs w:val="24"/>
        </w:rPr>
        <w:t xml:space="preserve"> with new cultures started with 1% (v/v) inocula. </w:t>
      </w:r>
      <w:r w:rsidRPr="008B7A48">
        <w:rPr>
          <w:sz w:val="24"/>
          <w:szCs w:val="24"/>
        </w:rPr>
        <w:t xml:space="preserve">Serial culturing was carried out between four and seven days, as described in the text. For quantification, cultures were diluted in phosphate-buffered saline (Sigma-Aldrich, UK) and plated overnight in LB-agar containing no antibiotics (for total cell quantification), kanamycin (for isolating total cells containing the reporter plasmid) or both (for measuring cells that did not lose any plasmid). Resulting plates were photographed or scanned in a GE Healthcare Typhoon FLA9500 biomolecular imager, using FITC settings (Laser: 488 nm; filter BLP) to identify GFP-expressing colonies (where relevant), and Alexa Fluor 647 (Laser: 635 nm; filter LPR) to visualize all </w:t>
      </w:r>
      <w:r w:rsidRPr="008B7A48">
        <w:rPr>
          <w:i/>
          <w:sz w:val="24"/>
          <w:szCs w:val="24"/>
        </w:rPr>
        <w:t>E. coli</w:t>
      </w:r>
      <w:r w:rsidRPr="008B7A48">
        <w:rPr>
          <w:sz w:val="24"/>
          <w:szCs w:val="24"/>
        </w:rPr>
        <w:t xml:space="preserve"> colonies.</w:t>
      </w:r>
    </w:p>
    <w:p w14:paraId="4D37BD42" w14:textId="77777777" w:rsidR="008B7A48" w:rsidRPr="008B7A48" w:rsidRDefault="008B7A48" w:rsidP="008B7A48">
      <w:pPr>
        <w:spacing w:line="360" w:lineRule="auto"/>
        <w:jc w:val="both"/>
        <w:rPr>
          <w:sz w:val="24"/>
          <w:szCs w:val="24"/>
        </w:rPr>
      </w:pPr>
      <w:r w:rsidRPr="008B7A48">
        <w:rPr>
          <w:sz w:val="24"/>
          <w:szCs w:val="24"/>
        </w:rPr>
        <w:t xml:space="preserve">Small-scale cultures, used in the high-throughput compatibility assays, were grown for 24 h before cell density and fluorescence were measured on a CLARIOstar spectrophotometer (BMG Labtech, DE), with the 525/25 filter for GFP expression quantification. Gain settings for fluorescence measurements were automatically selected by the software based on the available samples, to maximise discrimination without saturating detection. Some selected samples of small-scale cultures, together with positive and negative controls, were also analysed in flow cytometry experiments. </w:t>
      </w:r>
    </w:p>
    <w:p w14:paraId="07714BE0" w14:textId="06653253" w:rsidR="008B7A48" w:rsidRPr="004F5452" w:rsidRDefault="008B7A48" w:rsidP="008B7A48">
      <w:pPr>
        <w:spacing w:line="360" w:lineRule="auto"/>
        <w:jc w:val="both"/>
        <w:rPr>
          <w:sz w:val="24"/>
          <w:szCs w:val="24"/>
        </w:rPr>
      </w:pPr>
      <w:r w:rsidRPr="008B7A48">
        <w:rPr>
          <w:sz w:val="24"/>
          <w:szCs w:val="24"/>
        </w:rPr>
        <w:t>Selection for compatible plasmid origins was carried out in large-scale cultures (from which alpha origin was isolated) and small-scale high-throughput screening assay (from which the characterised origins were isolated). Selection was carried out as per serial passaging experiments isolating compatible origins from bacterial colonies grown in both kanamycin and chloramphenicol after a period of growth under kanamycin only selection.</w:t>
      </w:r>
    </w:p>
    <w:p w14:paraId="207880C8" w14:textId="77777777" w:rsidR="008B7A48" w:rsidRPr="008B7A48" w:rsidRDefault="008B7A48" w:rsidP="008B7A48">
      <w:pPr>
        <w:spacing w:line="360" w:lineRule="auto"/>
        <w:jc w:val="both"/>
        <w:rPr>
          <w:b/>
          <w:sz w:val="24"/>
          <w:szCs w:val="24"/>
        </w:rPr>
      </w:pPr>
      <w:r w:rsidRPr="008B7A48">
        <w:rPr>
          <w:b/>
          <w:sz w:val="24"/>
          <w:szCs w:val="24"/>
        </w:rPr>
        <w:t>Intercompatibility assay</w:t>
      </w:r>
    </w:p>
    <w:p w14:paraId="49F1392B" w14:textId="514D46FD" w:rsidR="008B7A48" w:rsidRPr="008B7A48" w:rsidRDefault="008B7A48" w:rsidP="008B7A48">
      <w:pPr>
        <w:spacing w:line="360" w:lineRule="auto"/>
        <w:jc w:val="both"/>
        <w:rPr>
          <w:sz w:val="24"/>
          <w:szCs w:val="24"/>
        </w:rPr>
      </w:pPr>
      <w:r w:rsidRPr="008B7A48">
        <w:rPr>
          <w:sz w:val="24"/>
          <w:szCs w:val="24"/>
        </w:rPr>
        <w:t xml:space="preserve">The co-transformed cells were grown overnight in 5 mL of LB with kanamycin (50 µg/mL), </w:t>
      </w:r>
      <w:r w:rsidR="00240698">
        <w:rPr>
          <w:sz w:val="24"/>
          <w:szCs w:val="24"/>
        </w:rPr>
        <w:t>c</w:t>
      </w:r>
      <w:r w:rsidRPr="008B7A48">
        <w:rPr>
          <w:sz w:val="24"/>
          <w:szCs w:val="24"/>
        </w:rPr>
        <w:t xml:space="preserve">hloramphenicol (34 µg/mL) and </w:t>
      </w:r>
      <w:r w:rsidR="00240698">
        <w:rPr>
          <w:sz w:val="24"/>
          <w:szCs w:val="24"/>
        </w:rPr>
        <w:t>a</w:t>
      </w:r>
      <w:r w:rsidRPr="008B7A48">
        <w:rPr>
          <w:sz w:val="24"/>
          <w:szCs w:val="24"/>
        </w:rPr>
        <w:t xml:space="preserve">mpicillin (50 µg/mL) for 16 hours. Small-scale fresh cultures were inoculated from the overnight ones [1:100 (v/v)] and grown overnight in aerated </w:t>
      </w:r>
      <w:r w:rsidRPr="008B7A48">
        <w:rPr>
          <w:sz w:val="24"/>
          <w:szCs w:val="24"/>
        </w:rPr>
        <w:lastRenderedPageBreak/>
        <w:t>conditions (200 RPM) at 37°C in 96-well plates. Serial passaging was carried out as described above, with media supplemented with chloramphenicol, three times before being analysed by flow cytometry.</w:t>
      </w:r>
      <w:r w:rsidR="00557702">
        <w:rPr>
          <w:sz w:val="24"/>
          <w:szCs w:val="24"/>
        </w:rPr>
        <w:t xml:space="preserve"> Expression of fluorescent proteins was induced in the final overnight growth </w:t>
      </w:r>
      <w:r w:rsidR="00001760">
        <w:rPr>
          <w:sz w:val="24"/>
          <w:szCs w:val="24"/>
        </w:rPr>
        <w:t xml:space="preserve">cycle </w:t>
      </w:r>
      <w:r w:rsidR="00F93C92">
        <w:rPr>
          <w:sz w:val="24"/>
          <w:szCs w:val="24"/>
        </w:rPr>
        <w:t xml:space="preserve">by the addition of L-arabinose [0.5% (w/v)]. </w:t>
      </w:r>
    </w:p>
    <w:p w14:paraId="462B0F85" w14:textId="77777777" w:rsidR="008B7A48" w:rsidRPr="008B7A48" w:rsidRDefault="008B7A48" w:rsidP="008B7A48">
      <w:pPr>
        <w:spacing w:line="360" w:lineRule="auto"/>
        <w:jc w:val="both"/>
        <w:rPr>
          <w:b/>
          <w:sz w:val="24"/>
          <w:szCs w:val="24"/>
        </w:rPr>
      </w:pPr>
      <w:r w:rsidRPr="008B7A48">
        <w:rPr>
          <w:b/>
          <w:sz w:val="24"/>
          <w:szCs w:val="24"/>
        </w:rPr>
        <w:t>DNA extraction and copy number calculation using dPCR</w:t>
      </w:r>
    </w:p>
    <w:p w14:paraId="7CFF468B" w14:textId="54A59742" w:rsidR="008B7A48" w:rsidRPr="008B7A48" w:rsidRDefault="008B7A48" w:rsidP="008B7A48">
      <w:pPr>
        <w:spacing w:line="360" w:lineRule="auto"/>
        <w:jc w:val="both"/>
        <w:rPr>
          <w:sz w:val="24"/>
          <w:szCs w:val="24"/>
        </w:rPr>
      </w:pPr>
      <w:r w:rsidRPr="008B7A48">
        <w:rPr>
          <w:sz w:val="24"/>
          <w:szCs w:val="24"/>
        </w:rPr>
        <w:t xml:space="preserve">Both genomic and plasmid DNA were extracted from </w:t>
      </w:r>
      <w:r w:rsidRPr="008B7A48">
        <w:rPr>
          <w:i/>
          <w:sz w:val="24"/>
          <w:szCs w:val="24"/>
        </w:rPr>
        <w:t>E. coli</w:t>
      </w:r>
      <w:r w:rsidRPr="008B7A48">
        <w:rPr>
          <w:sz w:val="24"/>
          <w:szCs w:val="24"/>
        </w:rPr>
        <w:t xml:space="preserve"> cells, using a detergent-based method previously described</w:t>
      </w:r>
      <w:r w:rsidRPr="008B7A48">
        <w:rPr>
          <w:sz w:val="24"/>
          <w:szCs w:val="24"/>
        </w:rPr>
        <w:fldChar w:fldCharType="begin" w:fldLock="1"/>
      </w:r>
      <w:r w:rsidR="00855FBA">
        <w:rPr>
          <w:sz w:val="24"/>
          <w:szCs w:val="24"/>
        </w:rPr>
        <w:instrText>ADDIN CSL_CITATION {"citationItems":[{"id":"ITEM-1","itemData":{"DOI":"10.1093/nar/21.9.2260","ISSN":"0305-1048","abstract":"Two major protocols for the preparation of bacterial genomic DNA have been commonly used (1,2). These methods provided powerful means of preparing genomic DNA; however, both of them are rather complex and time-consuming. Presented here is a simple and rapid method for extraction of bacterial genomic DNA. This method is effective in producing digestible genomic DNA from a variety of gram-negative bacteria, including those of the genera Xanthomonas, Pseudomonase, Agrobacterium, and Rhizobium. All of them normally produce copious amounts of polysaccharides (2, 3), the most common problem affecting DNA purity, which can inhibit the activity of many molecular biological enzymes (2). The method also has several advantages of not requiring any enzymes for expensive cell lysis materials. It requires only one chloroform extraction, and the entire process can be accomplished within one hour. DNA was extracted as follows: 1.5 ml of a saturated culture was harvested with centrifugation for 3 min at 12,000 rpm. The cell pellet was resuspended and lysed in 200 /xl of lysis buffer (40 mM Tris-acetate pH 7.8, 20 mM sodium-acetate, 1 mM EDTA, 1 % SDS) (4) by vigorous pipetting. To remove most proteins and cell debris, 66 /xl of 5M NaCl solution was added and mixed well, and then the viscous mixture was centrifuged at 12,000 rpm for 10 min at 4°C. After transferring the clear supernatant into a new vial, an equal volume of chloroform was added, and the tube was gently inverted at least 50 times when a milky solution was completely formed. Following centrifugating at 12,000 rpm for 3 min, the extracted supernatant was transferred to another vial and the DNA was precipitated with 100% EtOH, washed twice with 70% EtOH, dried in speed-vac, and redissolved in 50 /xl 1X TE buffer. If required, RNA could be removed by adding RNase in the lysis step for 30 min at 37 °C. In order to determine the efficiency of this technique, we compared it with published procedures (1, 2) using Xanthomonas campestris pv. citri as cell strain (Figure 1). For unknown reasons, the isolated genomic DNA with the CTAB method (2) always coextracted with a large amounts of RNA. This result was also found on the DNA extracted from other bacterial strains (data not shown). But with our method, a comparatively small amount of RNA was coextracted, as with the ordinary method (1). Furthermore, after restriction enzyme digestion, the area above 23 kb of the treated DNA with our method was clearer than with th…","author":[{"dropping-particle":"","family":"Chen","given":"Wen-ping","non-dropping-particle":"","parse-names":false,"suffix":""},{"dropping-particle":"","family":"Kuo","given":"Tsong-teh","non-dropping-particle":"","parse-names":false,"suffix":""}],"container-title":"Nucleic Acids Research","id":"ITEM-1","issue":"9","issued":{"date-parts":[["1993","5","11"]]},"page":"2260-2260","publisher":"Oxford Academic","title":"A simple and rapid method for the preparation of gram-negative bacterial genomic DNA","type":"article-journal","volume":"21"},"uris":["http://www.mendeley.com/documents/?uuid=3cf6c191-f0f0-3509-915e-121c5f63e63b"]}],"mendeley":{"formattedCitation":"(33)","plainTextFormattedCitation":"(33)","previouslyFormattedCitation":"[33]"},"properties":{"noteIndex":0},"schema":"https://github.com/citation-style-language/schema/raw/master/csl-citation.json"}</w:instrText>
      </w:r>
      <w:r w:rsidRPr="008B7A48">
        <w:rPr>
          <w:sz w:val="24"/>
          <w:szCs w:val="24"/>
        </w:rPr>
        <w:fldChar w:fldCharType="separate"/>
      </w:r>
      <w:r w:rsidR="00855FBA" w:rsidRPr="00855FBA">
        <w:rPr>
          <w:noProof/>
          <w:sz w:val="24"/>
          <w:szCs w:val="24"/>
        </w:rPr>
        <w:t>(33)</w:t>
      </w:r>
      <w:r w:rsidRPr="008B7A48">
        <w:rPr>
          <w:sz w:val="24"/>
          <w:szCs w:val="24"/>
        </w:rPr>
        <w:fldChar w:fldCharType="end"/>
      </w:r>
      <w:r w:rsidRPr="008B7A48">
        <w:rPr>
          <w:sz w:val="24"/>
          <w:szCs w:val="24"/>
        </w:rPr>
        <w:t>. The isolated DNA was restriction digested with XbaI (NEB), following manufacturer’s recommendations on reaction conditions, to improve the efficiency of digital PCR amplification</w:t>
      </w:r>
      <w:r w:rsidRPr="008B7A48">
        <w:rPr>
          <w:sz w:val="24"/>
          <w:szCs w:val="24"/>
        </w:rPr>
        <w:fldChar w:fldCharType="begin" w:fldLock="1"/>
      </w:r>
      <w:r w:rsidR="00855FBA">
        <w:rPr>
          <w:sz w:val="24"/>
          <w:szCs w:val="24"/>
        </w:rPr>
        <w:instrText>ADDIN CSL_CITATION {"citationItems":[{"id":"ITEM-1","itemData":{"DOI":"10.1007/s00216-009-2729-5","ISSN":"1618-2642","abstract":"Digital polymerase chain reaction (PCR) is a promising technique for estimating target DNA copy number. PCR solution is distributed throughout numerous partitions, and following amplification, target DNA copy number is estimated based on the proportion of partitions containing amplified DNA. Here, we identify approaches for obtaining reliable digital PCR data. Single molecule amplification efficiency was significantly improved following fragmentation of total DNA and bias in copy number estimates reduced by analysis of short intact target DNA fragments. Random and independent distribution of target DNA molecules throughout partitions, which is critical to accurate digital PCR measurement, was demonstrated by spatial distribution analysis. The estimated relative uncertainty for target DNA concentration was under 6% when analyzing five digital panels comprising 765 partitions each, provided the panels contained an average of 212 to 3,365 template molecules. Partition volume was a major component of this uncertainty estimate. These findings can be applied to other digital PCR studies to improve confidence in such measurements.","author":[{"dropping-particle":"","family":"Bhat","given":"Somanath","non-dropping-particle":"","parse-names":false,"suffix":""},{"dropping-particle":"","family":"Herrmann","given":"Jan","non-dropping-particle":"","parse-names":false,"suffix":""},{"dropping-particle":"","family":"Armishaw","given":"Paul","non-dropping-particle":"","parse-names":false,"suffix":""},{"dropping-particle":"","family":"Corbisier","given":"Philippe","non-dropping-particle":"","parse-names":false,"suffix":""},{"dropping-particle":"","family":"Emslie","given":"Kerry R.","non-dropping-particle":"","parse-names":false,"suffix":""}],"container-title":"Analytical and Bioanalytical Chemistry","id":"ITEM-1","issue":"2","issued":{"date-parts":[["2009","5","15"]]},"page":"457-467","publisher":"Springer","title":"Single molecule detection in nanofluidic digital array enables accurate measurement of DNA copy number","type":"article-journal","volume":"394"},"uris":["http://www.mendeley.com/documents/?uuid=c3f59dd3-ead5-349d-82af-582fa99a50ae"]}],"mendeley":{"formattedCitation":"(34)","plainTextFormattedCitation":"(34)","previouslyFormattedCitation":"[34]"},"properties":{"noteIndex":0},"schema":"https://github.com/citation-style-language/schema/raw/master/csl-citation.json"}</w:instrText>
      </w:r>
      <w:r w:rsidRPr="008B7A48">
        <w:rPr>
          <w:sz w:val="24"/>
          <w:szCs w:val="24"/>
        </w:rPr>
        <w:fldChar w:fldCharType="separate"/>
      </w:r>
      <w:r w:rsidR="00855FBA" w:rsidRPr="00855FBA">
        <w:rPr>
          <w:noProof/>
          <w:sz w:val="24"/>
          <w:szCs w:val="24"/>
        </w:rPr>
        <w:t>(34)</w:t>
      </w:r>
      <w:r w:rsidRPr="008B7A48">
        <w:rPr>
          <w:sz w:val="24"/>
          <w:szCs w:val="24"/>
        </w:rPr>
        <w:fldChar w:fldCharType="end"/>
      </w:r>
      <w:r w:rsidRPr="008B7A48">
        <w:rPr>
          <w:sz w:val="24"/>
          <w:szCs w:val="24"/>
        </w:rPr>
        <w:t xml:space="preserve">. The digital PCRs (dPCRs) were carried out using a ThermoFisher QuantStudio 3D platform. </w:t>
      </w:r>
    </w:p>
    <w:p w14:paraId="68422B8B" w14:textId="56986E29" w:rsidR="008B7A48" w:rsidRPr="008B7A48" w:rsidRDefault="008B7A48" w:rsidP="008B7A48">
      <w:pPr>
        <w:spacing w:line="360" w:lineRule="auto"/>
        <w:jc w:val="both"/>
        <w:rPr>
          <w:sz w:val="24"/>
          <w:szCs w:val="24"/>
        </w:rPr>
      </w:pPr>
      <w:r w:rsidRPr="008B7A48">
        <w:rPr>
          <w:sz w:val="24"/>
          <w:szCs w:val="24"/>
        </w:rPr>
        <w:t>TaqMan assays</w:t>
      </w:r>
      <w:r w:rsidRPr="008B7A48">
        <w:rPr>
          <w:sz w:val="24"/>
          <w:szCs w:val="24"/>
        </w:rPr>
        <w:fldChar w:fldCharType="begin" w:fldLock="1"/>
      </w:r>
      <w:r w:rsidR="00855FBA">
        <w:rPr>
          <w:sz w:val="24"/>
          <w:szCs w:val="24"/>
        </w:rPr>
        <w:instrText>ADDIN CSL_CITATION {"citationItems":[{"id":"ITEM-1","itemData":{"DOI":"10.1101/gr.6.10.986","ISSN":"1088-9051","PMID":"8908518","abstract":"We have developed a novel 'real time' quantitative PCR method. The method measures PCR product accumulation through a dual-labeled fluorogenic probe (i.e., TaqMan Probe). This method provides very accurate and reproducible quantitation of gene copies. Unlike other quantitative PCR methods, real-time PCR does not require post-PCR sample handling, preventing potential PCR product carry-over contamination and resulting in much faster and higher throughput assays. The real-time PCR method has a very large dynamic range of starting target molecule determination [at least five orders of magnitude]. Real-time quantitative PCR is extremely accurate and less labor-intensive than current quantitative PCR methods.","author":[{"dropping-particle":"","family":"Heid","given":"C A","non-dropping-particle":"","parse-names":false,"suffix":""},{"dropping-particle":"","family":"Stevens","given":"J","non-dropping-particle":"","parse-names":false,"suffix":""},{"dropping-particle":"","family":"Livak","given":"K J","non-dropping-particle":"","parse-names":false,"suffix":""},{"dropping-particle":"","family":"Williams","given":"P M","non-dropping-particle":"","parse-names":false,"suffix":""}],"container-title":"Genome Research","id":"ITEM-1","issue":"10","issued":{"date-parts":[["1996","10","1"]]},"page":"986-994","publisher":"Genome Res","title":"Real time quantitative PCR.","type":"article-journal","volume":"6"},"uris":["http://www.mendeley.com/documents/?uuid=bca0e33b-022d-397e-9ceb-b02750ca6493"]}],"mendeley":{"formattedCitation":"(35)","plainTextFormattedCitation":"(35)","previouslyFormattedCitation":"[35]"},"properties":{"noteIndex":0},"schema":"https://github.com/citation-style-language/schema/raw/master/csl-citation.json"}</w:instrText>
      </w:r>
      <w:r w:rsidRPr="008B7A48">
        <w:rPr>
          <w:sz w:val="24"/>
          <w:szCs w:val="24"/>
        </w:rPr>
        <w:fldChar w:fldCharType="separate"/>
      </w:r>
      <w:r w:rsidR="00855FBA" w:rsidRPr="00855FBA">
        <w:rPr>
          <w:noProof/>
          <w:sz w:val="24"/>
          <w:szCs w:val="24"/>
        </w:rPr>
        <w:t>(35)</w:t>
      </w:r>
      <w:r w:rsidRPr="008B7A48">
        <w:rPr>
          <w:sz w:val="24"/>
          <w:szCs w:val="24"/>
        </w:rPr>
        <w:fldChar w:fldCharType="end"/>
      </w:r>
      <w:r w:rsidRPr="008B7A48">
        <w:rPr>
          <w:sz w:val="24"/>
          <w:szCs w:val="24"/>
        </w:rPr>
        <w:t xml:space="preserve"> were used to detect both genome and </w:t>
      </w:r>
      <w:r w:rsidR="00FB4870">
        <w:rPr>
          <w:sz w:val="24"/>
          <w:szCs w:val="24"/>
        </w:rPr>
        <w:t xml:space="preserve">regulatory </w:t>
      </w:r>
      <w:r w:rsidRPr="008B7A48">
        <w:rPr>
          <w:sz w:val="24"/>
          <w:szCs w:val="24"/>
        </w:rPr>
        <w:t xml:space="preserve">plasmid DNA. The probe for genome detection was designed against the Ter region of the </w:t>
      </w:r>
      <w:r w:rsidRPr="008B7A48">
        <w:rPr>
          <w:i/>
          <w:iCs/>
          <w:sz w:val="24"/>
          <w:szCs w:val="24"/>
        </w:rPr>
        <w:t>E. coli</w:t>
      </w:r>
      <w:r w:rsidRPr="008B7A48">
        <w:rPr>
          <w:sz w:val="24"/>
          <w:szCs w:val="24"/>
        </w:rPr>
        <w:t xml:space="preserve"> genome. Being the last part of the bacterial chromosome to replicate, the Ter region minimises the overestimate of </w:t>
      </w:r>
      <w:r w:rsidRPr="008B7A48">
        <w:rPr>
          <w:i/>
          <w:iCs/>
          <w:sz w:val="24"/>
          <w:szCs w:val="24"/>
        </w:rPr>
        <w:t>E. coli</w:t>
      </w:r>
      <w:r w:rsidRPr="008B7A48">
        <w:rPr>
          <w:sz w:val="24"/>
          <w:szCs w:val="24"/>
        </w:rPr>
        <w:t xml:space="preserve"> genomes due to replicating genomic DNA. The probe for plasmid detection was designed against the chloramphenicol acetyltransferase gene. The sequences of the primers and the probes are listed in </w:t>
      </w:r>
      <w:r w:rsidR="0013791C" w:rsidRPr="0013791C">
        <w:rPr>
          <w:b/>
          <w:bCs/>
          <w:sz w:val="24"/>
          <w:szCs w:val="24"/>
        </w:rPr>
        <w:t xml:space="preserve">SI Table </w:t>
      </w:r>
      <w:r w:rsidR="000A70D9">
        <w:rPr>
          <w:b/>
          <w:bCs/>
          <w:sz w:val="24"/>
          <w:szCs w:val="24"/>
        </w:rPr>
        <w:t>1</w:t>
      </w:r>
      <w:r w:rsidRPr="008B7A48">
        <w:rPr>
          <w:sz w:val="24"/>
          <w:szCs w:val="24"/>
        </w:rPr>
        <w:t>.</w:t>
      </w:r>
    </w:p>
    <w:p w14:paraId="4D8D66CF" w14:textId="47C8F841" w:rsidR="008B7A48" w:rsidRPr="008B7A48" w:rsidRDefault="00676A7D" w:rsidP="008B7A48">
      <w:pPr>
        <w:spacing w:line="360" w:lineRule="auto"/>
        <w:jc w:val="both"/>
        <w:rPr>
          <w:sz w:val="24"/>
          <w:szCs w:val="24"/>
        </w:rPr>
      </w:pPr>
      <w:r>
        <w:rPr>
          <w:sz w:val="24"/>
          <w:szCs w:val="24"/>
        </w:rPr>
        <w:t>R</w:t>
      </w:r>
      <w:r w:rsidR="008B7A48" w:rsidRPr="008B7A48">
        <w:rPr>
          <w:sz w:val="24"/>
          <w:szCs w:val="24"/>
        </w:rPr>
        <w:t>eaction mix</w:t>
      </w:r>
      <w:r>
        <w:rPr>
          <w:sz w:val="24"/>
          <w:szCs w:val="24"/>
        </w:rPr>
        <w:t>es</w:t>
      </w:r>
      <w:r w:rsidR="008B7A48" w:rsidRPr="008B7A48">
        <w:rPr>
          <w:sz w:val="24"/>
          <w:szCs w:val="24"/>
        </w:rPr>
        <w:t xml:space="preserve"> w</w:t>
      </w:r>
      <w:r>
        <w:rPr>
          <w:sz w:val="24"/>
          <w:szCs w:val="24"/>
        </w:rPr>
        <w:t>ere prepared</w:t>
      </w:r>
      <w:r w:rsidR="008B7A48" w:rsidRPr="008B7A48">
        <w:rPr>
          <w:sz w:val="24"/>
          <w:szCs w:val="24"/>
        </w:rPr>
        <w:t xml:space="preserve"> in 15 μL, containing </w:t>
      </w:r>
      <w:r w:rsidR="00D14323" w:rsidRPr="00D14323">
        <w:rPr>
          <w:sz w:val="24"/>
          <w:szCs w:val="24"/>
        </w:rPr>
        <w:t xml:space="preserve">QuantStudio™ 3D Digital PCR Master Mix v2 </w:t>
      </w:r>
      <w:r>
        <w:rPr>
          <w:sz w:val="24"/>
          <w:szCs w:val="24"/>
        </w:rPr>
        <w:t>(</w:t>
      </w:r>
      <w:r w:rsidR="008B7A48" w:rsidRPr="008B7A48">
        <w:rPr>
          <w:sz w:val="24"/>
          <w:szCs w:val="24"/>
        </w:rPr>
        <w:t>1x</w:t>
      </w:r>
      <w:r>
        <w:rPr>
          <w:sz w:val="24"/>
          <w:szCs w:val="24"/>
        </w:rPr>
        <w:t>)</w:t>
      </w:r>
      <w:r w:rsidR="008B7A48" w:rsidRPr="008B7A48">
        <w:rPr>
          <w:sz w:val="24"/>
          <w:szCs w:val="24"/>
        </w:rPr>
        <w:t xml:space="preserve">, PCR primers </w:t>
      </w:r>
      <w:r>
        <w:rPr>
          <w:sz w:val="24"/>
          <w:szCs w:val="24"/>
        </w:rPr>
        <w:t>(</w:t>
      </w:r>
      <w:r w:rsidR="008B7A48" w:rsidRPr="008B7A48">
        <w:rPr>
          <w:sz w:val="24"/>
          <w:szCs w:val="24"/>
        </w:rPr>
        <w:t>500 nM</w:t>
      </w:r>
      <w:r>
        <w:rPr>
          <w:sz w:val="24"/>
          <w:szCs w:val="24"/>
        </w:rPr>
        <w:t>)</w:t>
      </w:r>
      <w:r w:rsidR="008B7A48" w:rsidRPr="008B7A48">
        <w:rPr>
          <w:sz w:val="24"/>
          <w:szCs w:val="24"/>
        </w:rPr>
        <w:t xml:space="preserve">, FAM probe </w:t>
      </w:r>
      <w:r>
        <w:rPr>
          <w:sz w:val="24"/>
          <w:szCs w:val="24"/>
        </w:rPr>
        <w:t>(</w:t>
      </w:r>
      <w:r w:rsidR="008B7A48" w:rsidRPr="008B7A48">
        <w:rPr>
          <w:sz w:val="24"/>
          <w:szCs w:val="24"/>
        </w:rPr>
        <w:t>500 nM</w:t>
      </w:r>
      <w:r w:rsidR="00313FA6">
        <w:rPr>
          <w:sz w:val="24"/>
          <w:szCs w:val="24"/>
        </w:rPr>
        <w:t>)</w:t>
      </w:r>
      <w:r w:rsidR="00E6628F">
        <w:rPr>
          <w:sz w:val="24"/>
          <w:szCs w:val="24"/>
        </w:rPr>
        <w:t xml:space="preserve"> for plasmid detection</w:t>
      </w:r>
      <w:r w:rsidR="008B7A48" w:rsidRPr="008B7A48">
        <w:rPr>
          <w:sz w:val="24"/>
          <w:szCs w:val="24"/>
        </w:rPr>
        <w:t xml:space="preserve">, HEX probe </w:t>
      </w:r>
      <w:r w:rsidR="0044107F">
        <w:rPr>
          <w:sz w:val="24"/>
          <w:szCs w:val="24"/>
        </w:rPr>
        <w:t>(</w:t>
      </w:r>
      <w:r w:rsidR="008B7A48" w:rsidRPr="008B7A48">
        <w:rPr>
          <w:sz w:val="24"/>
          <w:szCs w:val="24"/>
        </w:rPr>
        <w:t>620 nM</w:t>
      </w:r>
      <w:r w:rsidR="0044107F">
        <w:rPr>
          <w:sz w:val="24"/>
          <w:szCs w:val="24"/>
        </w:rPr>
        <w:t>) for genome detection</w:t>
      </w:r>
      <w:r w:rsidR="008B7A48" w:rsidRPr="008B7A48">
        <w:rPr>
          <w:sz w:val="24"/>
          <w:szCs w:val="24"/>
        </w:rPr>
        <w:t xml:space="preserve">, and template 0.2 pg/μL. </w:t>
      </w:r>
      <w:r w:rsidR="0044107F">
        <w:rPr>
          <w:sz w:val="24"/>
          <w:szCs w:val="24"/>
        </w:rPr>
        <w:t xml:space="preserve">Once assembled, </w:t>
      </w:r>
      <w:r w:rsidR="008B7A48" w:rsidRPr="008B7A48">
        <w:rPr>
          <w:sz w:val="24"/>
          <w:szCs w:val="24"/>
        </w:rPr>
        <w:t xml:space="preserve">14.5 μL of the dPCR mix </w:t>
      </w:r>
      <w:r w:rsidR="0044107F">
        <w:rPr>
          <w:sz w:val="24"/>
          <w:szCs w:val="24"/>
        </w:rPr>
        <w:t>were</w:t>
      </w:r>
      <w:r w:rsidR="008B7A48" w:rsidRPr="008B7A48">
        <w:rPr>
          <w:sz w:val="24"/>
          <w:szCs w:val="24"/>
        </w:rPr>
        <w:t xml:space="preserve"> </w:t>
      </w:r>
      <w:r w:rsidR="0044107F">
        <w:rPr>
          <w:sz w:val="24"/>
          <w:szCs w:val="24"/>
        </w:rPr>
        <w:t>used per chip</w:t>
      </w:r>
      <w:r w:rsidR="008B7A48" w:rsidRPr="008B7A48">
        <w:rPr>
          <w:sz w:val="24"/>
          <w:szCs w:val="24"/>
        </w:rPr>
        <w:t xml:space="preserve">. </w:t>
      </w:r>
      <w:r w:rsidR="0044107F">
        <w:rPr>
          <w:sz w:val="24"/>
          <w:szCs w:val="24"/>
        </w:rPr>
        <w:t>N</w:t>
      </w:r>
      <w:r w:rsidR="008B7A48" w:rsidRPr="008B7A48">
        <w:rPr>
          <w:sz w:val="24"/>
          <w:szCs w:val="24"/>
        </w:rPr>
        <w:t>egative control</w:t>
      </w:r>
      <w:r w:rsidR="0044107F">
        <w:rPr>
          <w:sz w:val="24"/>
          <w:szCs w:val="24"/>
        </w:rPr>
        <w:t>s</w:t>
      </w:r>
      <w:r w:rsidR="008B7A48" w:rsidRPr="008B7A48">
        <w:rPr>
          <w:sz w:val="24"/>
          <w:szCs w:val="24"/>
        </w:rPr>
        <w:t xml:space="preserve"> without plasmids</w:t>
      </w:r>
      <w:r w:rsidR="00FB0FDF">
        <w:rPr>
          <w:sz w:val="24"/>
          <w:szCs w:val="24"/>
        </w:rPr>
        <w:t xml:space="preserve"> (i.e. genome only) or with purified plasmids (i.e. no genome) were also carried out</w:t>
      </w:r>
      <w:r w:rsidR="008B7A48" w:rsidRPr="008B7A48">
        <w:rPr>
          <w:sz w:val="24"/>
          <w:szCs w:val="24"/>
        </w:rPr>
        <w:t>. Reaction conditions consisted o</w:t>
      </w:r>
      <w:r w:rsidR="00FB0FDF">
        <w:rPr>
          <w:sz w:val="24"/>
          <w:szCs w:val="24"/>
        </w:rPr>
        <w:t>f</w:t>
      </w:r>
      <w:r w:rsidR="008B7A48" w:rsidRPr="008B7A48">
        <w:rPr>
          <w:sz w:val="24"/>
          <w:szCs w:val="24"/>
        </w:rPr>
        <w:t xml:space="preserve"> an initial denaturation at 96°C for 10 minutes</w:t>
      </w:r>
      <w:r w:rsidR="00FB0FDF">
        <w:rPr>
          <w:sz w:val="24"/>
          <w:szCs w:val="24"/>
        </w:rPr>
        <w:t>, followed by</w:t>
      </w:r>
      <w:r w:rsidR="008B7A48" w:rsidRPr="008B7A48">
        <w:rPr>
          <w:sz w:val="24"/>
          <w:szCs w:val="24"/>
        </w:rPr>
        <w:t xml:space="preserve"> 39 cycles of 60°C for 2 minutes, and 98°C for 30 seconds</w:t>
      </w:r>
      <w:r w:rsidR="00FB0FDF">
        <w:rPr>
          <w:sz w:val="24"/>
          <w:szCs w:val="24"/>
        </w:rPr>
        <w:t>. A final</w:t>
      </w:r>
      <w:r w:rsidR="008B7A48" w:rsidRPr="008B7A48">
        <w:rPr>
          <w:sz w:val="24"/>
          <w:szCs w:val="24"/>
        </w:rPr>
        <w:t xml:space="preserve"> 60°C extension for 2 minutes</w:t>
      </w:r>
      <w:r w:rsidR="00FB0FDF">
        <w:rPr>
          <w:sz w:val="24"/>
          <w:szCs w:val="24"/>
        </w:rPr>
        <w:t xml:space="preserve"> was carried out as a polishing step</w:t>
      </w:r>
      <w:r w:rsidR="008B7A48" w:rsidRPr="008B7A48">
        <w:rPr>
          <w:sz w:val="24"/>
          <w:szCs w:val="24"/>
        </w:rPr>
        <w:t>.</w:t>
      </w:r>
    </w:p>
    <w:p w14:paraId="628D6639" w14:textId="7ECA13B2" w:rsidR="008B7A48" w:rsidRPr="008B7A48" w:rsidRDefault="008B7A48" w:rsidP="008B7A48">
      <w:pPr>
        <w:spacing w:line="360" w:lineRule="auto"/>
        <w:jc w:val="both"/>
        <w:rPr>
          <w:sz w:val="24"/>
          <w:szCs w:val="24"/>
        </w:rPr>
      </w:pPr>
      <w:r w:rsidRPr="008B7A48">
        <w:rPr>
          <w:sz w:val="24"/>
          <w:szCs w:val="24"/>
        </w:rPr>
        <w:t xml:space="preserve">The data analysis was done using the QuantStudio® 3D AnalysisSuite™ </w:t>
      </w:r>
      <w:r w:rsidR="00FB0FDF">
        <w:rPr>
          <w:sz w:val="24"/>
          <w:szCs w:val="24"/>
        </w:rPr>
        <w:t>online platform</w:t>
      </w:r>
      <w:r w:rsidRPr="008B7A48">
        <w:rPr>
          <w:sz w:val="24"/>
          <w:szCs w:val="24"/>
        </w:rPr>
        <w:t xml:space="preserve">. Using the rare mutation analysis for the signals amplified from the genomic DNA, the software provides the values for the target/total signals with </w:t>
      </w:r>
      <w:r w:rsidR="003B2F5E">
        <w:rPr>
          <w:sz w:val="24"/>
          <w:szCs w:val="24"/>
        </w:rPr>
        <w:t>a 95% confidence interval</w:t>
      </w:r>
      <w:r w:rsidRPr="008B7A48">
        <w:rPr>
          <w:sz w:val="24"/>
          <w:szCs w:val="24"/>
        </w:rPr>
        <w:t>. These values allowed us to calculate the copy number of the plasmids per every genomic sequence.</w:t>
      </w:r>
    </w:p>
    <w:p w14:paraId="7F1835E7" w14:textId="77777777" w:rsidR="00001760" w:rsidRDefault="008B7A48" w:rsidP="008B7A48">
      <w:pPr>
        <w:spacing w:line="360" w:lineRule="auto"/>
        <w:jc w:val="both"/>
        <w:rPr>
          <w:b/>
          <w:sz w:val="24"/>
          <w:szCs w:val="24"/>
        </w:rPr>
      </w:pPr>
      <w:r w:rsidRPr="008B7A48">
        <w:rPr>
          <w:b/>
          <w:sz w:val="24"/>
          <w:szCs w:val="24"/>
        </w:rPr>
        <w:t>Flow Cytometry</w:t>
      </w:r>
    </w:p>
    <w:p w14:paraId="029E5CE9" w14:textId="76F3B94A" w:rsidR="00D242B1" w:rsidRDefault="004942A8" w:rsidP="008B7A48">
      <w:pPr>
        <w:spacing w:line="360" w:lineRule="auto"/>
        <w:jc w:val="both"/>
        <w:rPr>
          <w:sz w:val="24"/>
          <w:szCs w:val="24"/>
        </w:rPr>
      </w:pPr>
      <w:r>
        <w:rPr>
          <w:sz w:val="24"/>
          <w:szCs w:val="24"/>
        </w:rPr>
        <w:lastRenderedPageBreak/>
        <w:t xml:space="preserve">Experiments </w:t>
      </w:r>
      <w:r w:rsidR="0086293F">
        <w:rPr>
          <w:sz w:val="24"/>
          <w:szCs w:val="24"/>
        </w:rPr>
        <w:t>were designed to detect bacterial expression of fluorescent proteins</w:t>
      </w:r>
      <w:r w:rsidR="00886AFF">
        <w:rPr>
          <w:sz w:val="24"/>
          <w:szCs w:val="24"/>
        </w:rPr>
        <w:t xml:space="preserve"> in the </w:t>
      </w:r>
      <w:r w:rsidR="00605C88">
        <w:rPr>
          <w:sz w:val="24"/>
          <w:szCs w:val="24"/>
        </w:rPr>
        <w:t xml:space="preserve">cross-compatibility (GFP only) </w:t>
      </w:r>
      <w:r w:rsidR="000535E2">
        <w:rPr>
          <w:sz w:val="24"/>
          <w:szCs w:val="24"/>
        </w:rPr>
        <w:t>and intercompatibility</w:t>
      </w:r>
      <w:r w:rsidR="00C367A5">
        <w:rPr>
          <w:sz w:val="24"/>
          <w:szCs w:val="24"/>
        </w:rPr>
        <w:t xml:space="preserve"> (GFP, mApple and mTagBFP</w:t>
      </w:r>
      <w:r w:rsidR="009A0A76">
        <w:rPr>
          <w:sz w:val="24"/>
          <w:szCs w:val="24"/>
        </w:rPr>
        <w:t>2</w:t>
      </w:r>
      <w:r w:rsidR="00C367A5">
        <w:rPr>
          <w:sz w:val="24"/>
          <w:szCs w:val="24"/>
        </w:rPr>
        <w:t>)</w:t>
      </w:r>
      <w:r w:rsidR="000535E2">
        <w:rPr>
          <w:sz w:val="24"/>
          <w:szCs w:val="24"/>
        </w:rPr>
        <w:t xml:space="preserve"> assays</w:t>
      </w:r>
      <w:r w:rsidR="00237414">
        <w:rPr>
          <w:sz w:val="24"/>
          <w:szCs w:val="24"/>
        </w:rPr>
        <w:t>, using cells transformed with single</w:t>
      </w:r>
      <w:r w:rsidR="005615E6">
        <w:rPr>
          <w:sz w:val="24"/>
          <w:szCs w:val="24"/>
        </w:rPr>
        <w:t xml:space="preserve"> (or </w:t>
      </w:r>
      <w:r w:rsidR="009B6FF7">
        <w:rPr>
          <w:sz w:val="24"/>
          <w:szCs w:val="24"/>
        </w:rPr>
        <w:t>two)</w:t>
      </w:r>
      <w:r w:rsidR="00237414">
        <w:rPr>
          <w:sz w:val="24"/>
          <w:szCs w:val="24"/>
        </w:rPr>
        <w:t xml:space="preserve"> plasmids as controls</w:t>
      </w:r>
      <w:r w:rsidR="00C95733">
        <w:rPr>
          <w:sz w:val="24"/>
          <w:szCs w:val="24"/>
        </w:rPr>
        <w:t xml:space="preserve"> </w:t>
      </w:r>
      <w:r w:rsidR="00EF2083">
        <w:rPr>
          <w:sz w:val="24"/>
          <w:szCs w:val="24"/>
        </w:rPr>
        <w:t xml:space="preserve">to establish gates and check compensation parameters. </w:t>
      </w:r>
      <w:r w:rsidR="006C481F">
        <w:rPr>
          <w:sz w:val="24"/>
          <w:szCs w:val="24"/>
        </w:rPr>
        <w:t>Experiments were carried out in a CytoFLEX (Beckman Coulter, USA) benchtop flow cytometer</w:t>
      </w:r>
      <w:r w:rsidR="00D242B1">
        <w:rPr>
          <w:sz w:val="24"/>
          <w:szCs w:val="24"/>
        </w:rPr>
        <w:t xml:space="preserve">. </w:t>
      </w:r>
      <w:r w:rsidR="008B7A48" w:rsidRPr="008B7A48">
        <w:rPr>
          <w:sz w:val="24"/>
          <w:szCs w:val="24"/>
        </w:rPr>
        <w:t>Super-folder GFP (sfGFP)</w:t>
      </w:r>
      <w:r w:rsidR="00C70B24">
        <w:rPr>
          <w:sz w:val="24"/>
          <w:szCs w:val="24"/>
        </w:rPr>
        <w:t xml:space="preserve"> </w:t>
      </w:r>
      <w:r w:rsidR="008B7A48" w:rsidRPr="008B7A48">
        <w:rPr>
          <w:sz w:val="24"/>
          <w:szCs w:val="24"/>
        </w:rPr>
        <w:t xml:space="preserve">was measured using FITC settings (laser: 488 nm, filter 525/40 BP). The mApple protein could be detected using the PE settings (laser: 488 nm, filter 585/42 BP). </w:t>
      </w:r>
      <w:r w:rsidR="009A0A76">
        <w:rPr>
          <w:sz w:val="24"/>
          <w:szCs w:val="24"/>
        </w:rPr>
        <w:t>mTagBFP2</w:t>
      </w:r>
      <w:r w:rsidR="00D31B62">
        <w:rPr>
          <w:sz w:val="24"/>
          <w:szCs w:val="24"/>
        </w:rPr>
        <w:t xml:space="preserve"> was measured using PB450 settings (laser : 405 nm, filter 450/45 BP)</w:t>
      </w:r>
      <w:r w:rsidR="006271E4">
        <w:rPr>
          <w:sz w:val="24"/>
          <w:szCs w:val="24"/>
        </w:rPr>
        <w:t>.</w:t>
      </w:r>
    </w:p>
    <w:p w14:paraId="733C7921" w14:textId="398BAB4A" w:rsidR="008B7A48" w:rsidRDefault="006271E4" w:rsidP="008B7A48">
      <w:pPr>
        <w:spacing w:line="360" w:lineRule="auto"/>
        <w:jc w:val="both"/>
        <w:rPr>
          <w:sz w:val="24"/>
          <w:szCs w:val="24"/>
        </w:rPr>
      </w:pPr>
      <w:r>
        <w:rPr>
          <w:sz w:val="24"/>
          <w:szCs w:val="24"/>
        </w:rPr>
        <w:t>Small culture aliquots (</w:t>
      </w:r>
      <w:r w:rsidR="008B7A48" w:rsidRPr="008B7A48">
        <w:rPr>
          <w:sz w:val="24"/>
          <w:szCs w:val="24"/>
        </w:rPr>
        <w:t>5 µL</w:t>
      </w:r>
      <w:r>
        <w:rPr>
          <w:sz w:val="24"/>
          <w:szCs w:val="24"/>
        </w:rPr>
        <w:t>)</w:t>
      </w:r>
      <w:r w:rsidR="008B7A48" w:rsidRPr="008B7A48">
        <w:rPr>
          <w:sz w:val="24"/>
          <w:szCs w:val="24"/>
        </w:rPr>
        <w:t xml:space="preserve"> were diluted in 1000 µL of Mili-Q H</w:t>
      </w:r>
      <w:r w:rsidR="008B7A48" w:rsidRPr="008B7A48">
        <w:rPr>
          <w:sz w:val="24"/>
          <w:szCs w:val="24"/>
          <w:vertAlign w:val="subscript"/>
        </w:rPr>
        <w:t>2</w:t>
      </w:r>
      <w:r w:rsidR="008B7A48" w:rsidRPr="008B7A48">
        <w:rPr>
          <w:sz w:val="24"/>
          <w:szCs w:val="24"/>
        </w:rPr>
        <w:t>O, and th</w:t>
      </w:r>
      <w:r>
        <w:rPr>
          <w:sz w:val="24"/>
          <w:szCs w:val="24"/>
        </w:rPr>
        <w:t>ose</w:t>
      </w:r>
      <w:r w:rsidR="008B7A48" w:rsidRPr="008B7A48">
        <w:rPr>
          <w:sz w:val="24"/>
          <w:szCs w:val="24"/>
        </w:rPr>
        <w:t xml:space="preserve"> sample</w:t>
      </w:r>
      <w:r>
        <w:rPr>
          <w:sz w:val="24"/>
          <w:szCs w:val="24"/>
        </w:rPr>
        <w:t>s</w:t>
      </w:r>
      <w:r w:rsidR="008B7A48" w:rsidRPr="008B7A48">
        <w:rPr>
          <w:sz w:val="24"/>
          <w:szCs w:val="24"/>
        </w:rPr>
        <w:t xml:space="preserve"> w</w:t>
      </w:r>
      <w:r>
        <w:rPr>
          <w:sz w:val="24"/>
          <w:szCs w:val="24"/>
        </w:rPr>
        <w:t>ere</w:t>
      </w:r>
      <w:r w:rsidR="008B7A48" w:rsidRPr="008B7A48">
        <w:rPr>
          <w:sz w:val="24"/>
          <w:szCs w:val="24"/>
        </w:rPr>
        <w:t xml:space="preserve"> used for </w:t>
      </w:r>
      <w:r w:rsidR="00EA5D6E">
        <w:rPr>
          <w:sz w:val="24"/>
          <w:szCs w:val="24"/>
        </w:rPr>
        <w:t>sampling</w:t>
      </w:r>
      <w:r w:rsidR="008B7A48" w:rsidRPr="008B7A48">
        <w:rPr>
          <w:sz w:val="24"/>
          <w:szCs w:val="24"/>
        </w:rPr>
        <w:t>. Forward and side scattering (FSC and SSC) were used to identify single bacterial cells (from noise, cell debris and aggregates) and gated accordingly</w:t>
      </w:r>
      <w:r w:rsidR="00EA5D6E">
        <w:rPr>
          <w:sz w:val="24"/>
          <w:szCs w:val="24"/>
        </w:rPr>
        <w:t xml:space="preserve"> for acquisition</w:t>
      </w:r>
      <w:r w:rsidR="008B7A48" w:rsidRPr="008B7A48">
        <w:rPr>
          <w:sz w:val="24"/>
          <w:szCs w:val="24"/>
        </w:rPr>
        <w:t xml:space="preserve">. All subsequent analyses were carried out in the gated cells using CytExpert (Beckman Coulter) or FCS Express (De Novo Software, USA). </w:t>
      </w:r>
      <w:r w:rsidR="0060338D">
        <w:rPr>
          <w:sz w:val="24"/>
          <w:szCs w:val="24"/>
        </w:rPr>
        <w:t>Single-cell gating was repeated post-acquisition and samples analysed</w:t>
      </w:r>
      <w:r w:rsidR="00B1702E">
        <w:rPr>
          <w:sz w:val="24"/>
          <w:szCs w:val="24"/>
        </w:rPr>
        <w:t xml:space="preserve">, using in all circumstances at least 1300 events – See </w:t>
      </w:r>
      <w:r w:rsidR="00B1702E" w:rsidRPr="00B1702E">
        <w:rPr>
          <w:b/>
          <w:bCs/>
          <w:sz w:val="24"/>
          <w:szCs w:val="24"/>
        </w:rPr>
        <w:t xml:space="preserve">SI Table </w:t>
      </w:r>
      <w:r w:rsidR="000A70D9">
        <w:rPr>
          <w:b/>
          <w:bCs/>
          <w:sz w:val="24"/>
          <w:szCs w:val="24"/>
        </w:rPr>
        <w:t>2</w:t>
      </w:r>
      <w:r w:rsidR="00B1702E">
        <w:rPr>
          <w:sz w:val="24"/>
          <w:szCs w:val="24"/>
        </w:rPr>
        <w:t xml:space="preserve"> for details.</w:t>
      </w:r>
    </w:p>
    <w:p w14:paraId="0004C3C2" w14:textId="77777777" w:rsidR="008B7A48" w:rsidRPr="008B7A48" w:rsidRDefault="008B7A48" w:rsidP="008B7A48">
      <w:pPr>
        <w:spacing w:line="360" w:lineRule="auto"/>
        <w:jc w:val="both"/>
        <w:rPr>
          <w:b/>
          <w:sz w:val="24"/>
          <w:szCs w:val="24"/>
        </w:rPr>
      </w:pPr>
      <w:r w:rsidRPr="008B7A48">
        <w:rPr>
          <w:b/>
          <w:sz w:val="24"/>
          <w:szCs w:val="24"/>
        </w:rPr>
        <w:t>NGS data analysis</w:t>
      </w:r>
    </w:p>
    <w:p w14:paraId="51D699F4" w14:textId="77777777" w:rsidR="008B7A48" w:rsidRPr="008B7A48" w:rsidRDefault="008B7A48" w:rsidP="008B7A48">
      <w:pPr>
        <w:spacing w:line="360" w:lineRule="auto"/>
        <w:jc w:val="both"/>
        <w:rPr>
          <w:sz w:val="24"/>
          <w:szCs w:val="24"/>
        </w:rPr>
      </w:pPr>
      <w:r w:rsidRPr="008B7A48">
        <w:rPr>
          <w:sz w:val="24"/>
          <w:szCs w:val="24"/>
        </w:rPr>
        <w:t xml:space="preserve">Transformed libraries (Library #1 for method development and combined libraries for subsequent experiments), were harvested from the transformation plates and grown in liquid LB medium (50 mL culture under aerated conditions) supplemented with kanamycin at 37°C for 2 hours or until turbid. Cells were isolated by centrifugation (4,000 x </w:t>
      </w:r>
      <w:r w:rsidRPr="00460F20">
        <w:rPr>
          <w:i/>
          <w:iCs/>
          <w:sz w:val="24"/>
          <w:szCs w:val="24"/>
        </w:rPr>
        <w:t>g</w:t>
      </w:r>
      <w:r w:rsidRPr="008B7A48">
        <w:rPr>
          <w:sz w:val="24"/>
          <w:szCs w:val="24"/>
        </w:rPr>
        <w:t xml:space="preserve"> at 4°C for 15 min) and plasmid DNA isolated using a GeneJet mini-prep kit (ThermoFisher, UK) following manufacturer’s recommendations. Isolated plasmid DNA was quantified by UV absorbance and used as template for the amplification of the fragment to be sequenced (primers given in Supplementary Information). Sample preparation was carried out according to the recommendations of Genewiz, who also carried out the Illumina sequencing. </w:t>
      </w:r>
    </w:p>
    <w:p w14:paraId="30DD137D" w14:textId="77777777" w:rsidR="008B7A48" w:rsidRPr="008B7A48" w:rsidRDefault="008B7A48" w:rsidP="008B7A48">
      <w:pPr>
        <w:spacing w:line="360" w:lineRule="auto"/>
        <w:jc w:val="both"/>
        <w:rPr>
          <w:sz w:val="24"/>
          <w:szCs w:val="24"/>
        </w:rPr>
      </w:pPr>
      <w:r w:rsidRPr="008B7A48">
        <w:rPr>
          <w:sz w:val="24"/>
          <w:szCs w:val="24"/>
        </w:rPr>
        <w:t>Compatible libraries, obtained after selection in large-scale cultures and plated under both kanamycin and chloramphenicol selection, were treated as above, which also explains the high frequency of observation of the wild-type colE1 origin in the analysis (SI_Fig 3).</w:t>
      </w:r>
    </w:p>
    <w:p w14:paraId="2C416EB0" w14:textId="513D223C" w:rsidR="008B7A48" w:rsidRPr="008B7A48" w:rsidRDefault="008B7A48" w:rsidP="008B7A48">
      <w:pPr>
        <w:spacing w:line="360" w:lineRule="auto"/>
        <w:jc w:val="both"/>
        <w:rPr>
          <w:sz w:val="24"/>
          <w:szCs w:val="24"/>
        </w:rPr>
      </w:pPr>
      <w:r w:rsidRPr="008B7A48">
        <w:rPr>
          <w:sz w:val="24"/>
          <w:szCs w:val="24"/>
        </w:rPr>
        <w:t xml:space="preserve">NGS data analysis was carried out in the Galaxy server at </w:t>
      </w:r>
      <w:hyperlink r:id="rId8" w:history="1">
        <w:r w:rsidRPr="008B7A48">
          <w:rPr>
            <w:rStyle w:val="Hyperlink"/>
            <w:i/>
            <w:iCs/>
            <w:sz w:val="24"/>
            <w:szCs w:val="24"/>
            <w:lang w:val="es-AR"/>
          </w:rPr>
          <w:t>usegalaxy.org</w:t>
        </w:r>
      </w:hyperlink>
      <w:r w:rsidRPr="008B7A48">
        <w:rPr>
          <w:i/>
          <w:iCs/>
          <w:sz w:val="24"/>
          <w:szCs w:val="24"/>
        </w:rPr>
        <w:fldChar w:fldCharType="begin" w:fldLock="1"/>
      </w:r>
      <w:r w:rsidR="00855FBA">
        <w:rPr>
          <w:i/>
          <w:iCs/>
          <w:sz w:val="24"/>
          <w:szCs w:val="24"/>
        </w:rPr>
        <w:instrText>ADDIN CSL_CITATION {"citationItems":[{"id":"ITEM-1","itemData":{"DOI":"10.1093/nar/gkw343","ISSN":"0305-1048","abstract":"High-throughput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author":[{"dropping-particle":"","family":"Afgan","given":"Enis","non-dropping-particle":"","parse-names":false,"suffix":""},{"dropping-particle":"","family":"Baker","given":"Dannon","non-dropping-particle":"","parse-names":false,"suffix":""},{"dropping-particle":"","family":"Beek","given":"Marius","non-dropping-particle":"van den","parse-names":false,"suffix":""},{"dropping-particle":"","family":"Blankenberg","given":"Daniel","non-dropping-particle":"","parse-names":false,"suffix":""},{"dropping-particle":"","family":"Bouvier","given":"Dave","non-dropping-particle":"","parse-names":false,"suffix":""},{"dropping-particle":"","family":"Čech","given":"Martin","non-dropping-particle":"","parse-names":false,"suffix":""},{"dropping-particle":"","family":"Chilton","given":"John","non-dropping-particle":"","parse-names":false,"suffix":""},{"dropping-particle":"","family":"Clements","given":"Dave","non-dropping-particle":"","parse-names":false,"suffix":""},{"dropping-particle":"","family":"Coraor","given":"Nate","non-dropping-particle":"","parse-names":false,"suffix":""},{"dropping-particle":"","family":"Eberhard","given":"Carl","non-dropping-particle":"","parse-names":false,"suffix":""},{"dropping-particle":"","family":"Grüning","given":"Björn","non-dropping-particle":"","parse-names":false,"suffix":""},{"dropping-particle":"","family":"Guerler","given":"Aysam","non-dropping-particle":"","parse-names":false,"suffix":""},{"dropping-particle":"","family":"Hillman-Jackson","given":"Jennifer","non-dropping-particle":"","parse-names":false,"suffix":""},{"dropping-particle":"","family":"Kuster","given":"Greg","non-dropping-particle":"Von","parse-names":false,"suffix":""},{"dropping-particle":"","family":"Rasche","given":"Eric","non-dropping-particle":"","parse-names":false,"suffix":""},{"dropping-particle":"","family":"Soranzo","given":"Nicola","non-dropping-particle":"","parse-names":false,"suffix":""},{"dropping-particle":"","family":"Turaga","given":"Nitesh","non-dropping-particle":"","parse-names":false,"suffix":""},{"dropping-particle":"","family":"Taylor","given":"James","non-dropping-particle":"","parse-names":false,"suffix":""},{"dropping-particle":"","family":"Nekrutenko","given":"Anton","non-dropping-particle":"","parse-names":false,"suffix":""},{"dropping-particle":"","family":"Goecks","given":"Jeremy","non-dropping-particle":"","parse-names":false,"suffix":""}],"container-title":"Nucleic Acids Research","id":"ITEM-1","issue":"W1","issued":{"date-parts":[["2016","7","8"]]},"page":"W3-W10","publisher":"Oxford Academic","title":"The Galaxy platform for accessible, reproducible and collaborative biomedical analyses: 2016 update","type":"article-journal","volume":"44"},"uris":["http://www.mendeley.com/documents/?uuid=95ca212e-80a8-3d0a-8c73-364c499f96c9"]}],"mendeley":{"formattedCitation":"(36)","plainTextFormattedCitation":"(36)","previouslyFormattedCitation":"[36]"},"properties":{"noteIndex":0},"schema":"https://github.com/citation-style-language/schema/raw/master/csl-citation.json"}</w:instrText>
      </w:r>
      <w:r w:rsidRPr="008B7A48">
        <w:rPr>
          <w:i/>
          <w:iCs/>
          <w:sz w:val="24"/>
          <w:szCs w:val="24"/>
        </w:rPr>
        <w:fldChar w:fldCharType="separate"/>
      </w:r>
      <w:r w:rsidR="00855FBA" w:rsidRPr="00855FBA">
        <w:rPr>
          <w:iCs/>
          <w:noProof/>
          <w:sz w:val="24"/>
          <w:szCs w:val="24"/>
        </w:rPr>
        <w:t>(36)</w:t>
      </w:r>
      <w:r w:rsidRPr="008B7A48">
        <w:rPr>
          <w:sz w:val="24"/>
          <w:szCs w:val="24"/>
        </w:rPr>
        <w:fldChar w:fldCharType="end"/>
      </w:r>
      <w:r w:rsidRPr="008B7A48">
        <w:rPr>
          <w:i/>
          <w:iCs/>
          <w:sz w:val="24"/>
          <w:szCs w:val="24"/>
        </w:rPr>
        <w:t xml:space="preserve">. </w:t>
      </w:r>
      <w:r w:rsidRPr="008B7A48">
        <w:rPr>
          <w:sz w:val="24"/>
          <w:szCs w:val="24"/>
        </w:rPr>
        <w:t xml:space="preserve">The analysis workflow (provided as supplementary information) begins with filtering sequences for quality using the 'FASTQ Quality Trimmer' (10 window, mean score &gt;20). Sequences are converted </w:t>
      </w:r>
      <w:r w:rsidRPr="008B7A48">
        <w:rPr>
          <w:sz w:val="24"/>
          <w:szCs w:val="24"/>
        </w:rPr>
        <w:lastRenderedPageBreak/>
        <w:t>from FASTQ to FASTA (fastq.info) and filtered with sequences expected to flank the library diversity (Filter FASTA). In our analysis, “</w:t>
      </w:r>
      <w:r w:rsidRPr="008B7A48">
        <w:rPr>
          <w:sz w:val="24"/>
          <w:szCs w:val="24"/>
          <w:lang w:val="es-AR"/>
        </w:rPr>
        <w:t>CGTAATCTGCTGCTTGCAAA”, “GGTTTGTTTGCCGGA”, “TTTCCGAAGGTAACT” and “AGCGCAG” were used to reduce the data to sequences likely to be from bonafide origins.</w:t>
      </w:r>
      <w:r w:rsidRPr="008B7A48">
        <w:rPr>
          <w:sz w:val="24"/>
          <w:szCs w:val="24"/>
        </w:rPr>
        <w:t xml:space="preserve"> As a last step, the dataset is de-duplicated and repeated origins counted (Unique.seqs).</w:t>
      </w:r>
    </w:p>
    <w:p w14:paraId="65402C54" w14:textId="77777777" w:rsidR="008B7A48" w:rsidRPr="008B7A48" w:rsidRDefault="008B7A48" w:rsidP="008B7A48">
      <w:pPr>
        <w:spacing w:line="360" w:lineRule="auto"/>
        <w:jc w:val="both"/>
        <w:rPr>
          <w:b/>
          <w:sz w:val="24"/>
          <w:szCs w:val="24"/>
        </w:rPr>
      </w:pPr>
      <w:r w:rsidRPr="008B7A48">
        <w:rPr>
          <w:b/>
          <w:sz w:val="24"/>
          <w:szCs w:val="24"/>
        </w:rPr>
        <w:t>Bioinformatic tools for RNA structure prediction</w:t>
      </w:r>
    </w:p>
    <w:p w14:paraId="238A67BE" w14:textId="3E5A54EE" w:rsidR="00C314E8" w:rsidRDefault="008B7A48" w:rsidP="0067610B">
      <w:pPr>
        <w:spacing w:line="360" w:lineRule="auto"/>
        <w:jc w:val="both"/>
        <w:rPr>
          <w:sz w:val="24"/>
          <w:szCs w:val="24"/>
        </w:rPr>
      </w:pPr>
      <w:r w:rsidRPr="008B7A48">
        <w:rPr>
          <w:sz w:val="24"/>
          <w:szCs w:val="24"/>
        </w:rPr>
        <w:t>Secondary structure prediction of wild-type and isolated RNAI was obtained using the Vienna RNA RNAfold online server</w:t>
      </w:r>
      <w:r w:rsidRPr="008B7A48">
        <w:rPr>
          <w:sz w:val="24"/>
          <w:szCs w:val="24"/>
        </w:rPr>
        <w:fldChar w:fldCharType="begin" w:fldLock="1"/>
      </w:r>
      <w:r w:rsidR="00855FBA">
        <w:rPr>
          <w:sz w:val="24"/>
          <w:szCs w:val="24"/>
        </w:rPr>
        <w:instrText>ADDIN CSL_CITATION {"citationItems":[{"id":"ITEM-1","itemData":{"DOI":"10.1186/1748-7188-6-26","ISSN":"1748-7188","abstract":"Secondary structure forms an important intermediate level of description of nucleic acids that encapsulates the dominating part of the folding energy, is often well conserved in evolution, and is routinely used as a basis to explain experimental findings. Based on carefully measured thermodynamic parameters, exact dynamic programming algorithms can be used to compute ground states, base pairing probabilities, as well as thermodynamic properties. The ViennaRNA Package has been a widely used compilation of RNA secondary structure related computer programs for nearly two decades. Major changes in the structure of the standard energy model, the Turner 2004 parameters, the pervasive use of multi-core CPUs, and an increasing number of algorithmic variants prompted a major technical overhaul of both the underlying RNAlib and the interactive user programs. New features include an expanded repertoire of tools to assess RNA-RNA interactions and restricted ensembles of structures, additional output information such as centroid structures and maximum expected accuracy structures derived from base pairing probabilities, or z-scores for locally stable secondary structures, and support for input in fasta format. Updates were implemented without compromising the computational efficiency of the core algorithms and ensuring compatibility with earlier versions. The ViennaRNA Package 2.0, supporting concurrent computations via OpenMP, can be downloaded from http://www.tbi.univie.ac.at/RNA .","author":[{"dropping-particle":"","family":"Lorenz","given":"Ronny","non-dropping-particle":"","parse-names":false,"suffix":""},{"dropping-particle":"","family":"Bernhart","given":"Stephan H","non-dropping-particle":"","parse-names":false,"suffix":""},{"dropping-particle":"","family":"Höner zu Siederdissen","given":"Christian","non-dropping-particle":"","parse-names":false,"suffix":""},{"dropping-particle":"","family":"Tafer","given":"Hakim","non-dropping-particle":"","parse-names":false,"suffix":""},{"dropping-particle":"","family":"Flamm","given":"Christoph","non-dropping-particle":"","parse-names":false,"suffix":""},{"dropping-particle":"","family":"Stadler","given":"Peter F","non-dropping-particle":"","parse-names":false,"suffix":""},{"dropping-particle":"","family":"Hofacker","given":"Ivo L","non-dropping-particle":"","parse-names":false,"suffix":""}],"container-title":"Algorithms for Molecular Biology","id":"ITEM-1","issue":"1","issued":{"date-parts":[["2011","12","24"]]},"page":"26","publisher":"BioMed Central","title":"ViennaRNA Package 2.0","type":"article-journal","volume":"6"},"uris":["http://www.mendeley.com/documents/?uuid=f097430e-847c-3d24-9e67-d9da337a679c"]},{"id":"ITEM-2","itemData":{"DOI":"10.1093/nar/gkn188","ISSN":"0305-1048","abstract":"The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http://rna.tbi.univie.ac.at/.","author":[{"dropping-particle":"","family":"Gruber","given":"Andreas R.","non-dropping-particle":"","parse-names":false,"suffix":""},{"dropping-particle":"","family":"Lorenz","given":"Ronny","non-dropping-particle":"","parse-names":false,"suffix":""},{"dropping-particle":"","family":"Bernhart","given":"Stephan H.","non-dropping-particle":"","parse-names":false,"suffix":""},{"dropping-particle":"","family":"Neubock","given":"R.","non-dropping-particle":"","parse-names":false,"suffix":""},{"dropping-particle":"","family":"Hofacker","given":"Ivo L.","non-dropping-particle":"","parse-names":false,"suffix":""}],"container-title":"Nucleic Acids Research","id":"ITEM-2","issue":"Web Server","issued":{"date-parts":[["2008","5","19"]]},"page":"W70-W74","publisher":"Oxford Academic","title":"The Vienna RNA Websuite","type":"article-journal","volume":"36"},"uris":["http://www.mendeley.com/documents/?uuid=975bac48-d605-3990-8c1d-07a9c11f0079"]}],"mendeley":{"formattedCitation":"(37, 38)","plainTextFormattedCitation":"(37, 38)","previouslyFormattedCitation":"[37,38]"},"properties":{"noteIndex":0},"schema":"https://github.com/citation-style-language/schema/raw/master/csl-citation.json"}</w:instrText>
      </w:r>
      <w:r w:rsidRPr="008B7A48">
        <w:rPr>
          <w:sz w:val="24"/>
          <w:szCs w:val="24"/>
        </w:rPr>
        <w:fldChar w:fldCharType="separate"/>
      </w:r>
      <w:r w:rsidR="00855FBA" w:rsidRPr="00855FBA">
        <w:rPr>
          <w:noProof/>
          <w:sz w:val="24"/>
          <w:szCs w:val="24"/>
        </w:rPr>
        <w:t>(37, 38)</w:t>
      </w:r>
      <w:r w:rsidRPr="008B7A48">
        <w:rPr>
          <w:sz w:val="24"/>
          <w:szCs w:val="24"/>
        </w:rPr>
        <w:fldChar w:fldCharType="end"/>
      </w:r>
      <w:r w:rsidRPr="008B7A48">
        <w:rPr>
          <w:sz w:val="24"/>
          <w:szCs w:val="24"/>
        </w:rPr>
        <w:t xml:space="preserve">, and </w:t>
      </w:r>
      <w:r w:rsidR="00C314E8" w:rsidRPr="008B7A48">
        <w:rPr>
          <w:sz w:val="24"/>
          <w:szCs w:val="24"/>
        </w:rPr>
        <w:t>visualised</w:t>
      </w:r>
      <w:r w:rsidRPr="008B7A48">
        <w:rPr>
          <w:sz w:val="24"/>
          <w:szCs w:val="24"/>
        </w:rPr>
        <w:t xml:space="preserve"> using forna</w:t>
      </w:r>
      <w:r w:rsidRPr="008B7A48">
        <w:rPr>
          <w:sz w:val="24"/>
          <w:szCs w:val="24"/>
        </w:rPr>
        <w:fldChar w:fldCharType="begin" w:fldLock="1"/>
      </w:r>
      <w:r w:rsidR="00855FBA">
        <w:rPr>
          <w:sz w:val="24"/>
          <w:szCs w:val="24"/>
        </w:rPr>
        <w:instrText>ADDIN CSL_CITATION {"citationItems":[{"id":"ITEM-1","itemData":{"DOI":"10.1093/bioinformatics/btv372","ISSN":"1367-4803","PMID":"26099263","abstract":"Motivation: The secondary structure of RNA is integral to the variety of functions it carries out in the cell and its depiction allows researchers to develop hypotheses about which nucleotides and base pairs are functionally relevant. Current approaches to visualizing secondary structure provide an adequate platform for the conversion of static text-based representations to 2D images, but are limited in their offer of interactivity as well as their ability to display larger structures, multiple structures and pseudoknotted structures. Results: In this article, we present forna, a web-based tool for displaying RNA secondary structure which allows users to easily convert sequences and secondary structures to clean, concise and customizable visualizations. It supports, among other features, the simultaneous visualization of multiple structures, the display of pseudoknotted structures, the interactive editing of the displayed structures, and the automatic generation of secondary structure diagrams from PDB files. It requires no software installation apart from a modern web browser.","author":[{"dropping-particle":"","family":"Kerpedjiev","given":"Peter","non-dropping-particle":"","parse-names":false,"suffix":""},{"dropping-particle":"","family":"Hammer","given":"Stefan","non-dropping-particle":"","parse-names":false,"suffix":""},{"dropping-particle":"","family":"Hofacker","given":"Ivo L.","non-dropping-particle":"","parse-names":false,"suffix":""}],"container-title":"Bioinformatics","id":"ITEM-1","issue":"20","issued":{"date-parts":[["2015","10","15"]]},"page":"3377-3379","publisher":"Oxford University Press","title":"Forna (force-directed RNA): Simple and effective online RNA secondary structure diagrams","type":"article-journal","volume":"31"},"uris":["http://www.mendeley.com/documents/?uuid=6e7dbbb2-6416-301d-aa2c-8ef763638579"]}],"mendeley":{"formattedCitation":"(39)","plainTextFormattedCitation":"(39)","previouslyFormattedCitation":"[39]"},"properties":{"noteIndex":0},"schema":"https://github.com/citation-style-language/schema/raw/master/csl-citation.json"}</w:instrText>
      </w:r>
      <w:r w:rsidRPr="008B7A48">
        <w:rPr>
          <w:sz w:val="24"/>
          <w:szCs w:val="24"/>
        </w:rPr>
        <w:fldChar w:fldCharType="separate"/>
      </w:r>
      <w:r w:rsidR="00855FBA" w:rsidRPr="00855FBA">
        <w:rPr>
          <w:noProof/>
          <w:sz w:val="24"/>
          <w:szCs w:val="24"/>
        </w:rPr>
        <w:t>(39)</w:t>
      </w:r>
      <w:r w:rsidRPr="008B7A48">
        <w:rPr>
          <w:sz w:val="24"/>
          <w:szCs w:val="24"/>
        </w:rPr>
        <w:fldChar w:fldCharType="end"/>
      </w:r>
      <w:r w:rsidRPr="008B7A48">
        <w:rPr>
          <w:sz w:val="24"/>
          <w:szCs w:val="24"/>
        </w:rPr>
        <w:t xml:space="preserve">. </w:t>
      </w:r>
    </w:p>
    <w:p w14:paraId="3EA29F4A" w14:textId="4E11FFAD" w:rsidR="003C1179" w:rsidRDefault="003C1179" w:rsidP="0067610B">
      <w:pPr>
        <w:spacing w:line="360" w:lineRule="auto"/>
        <w:jc w:val="both"/>
        <w:rPr>
          <w:b/>
          <w:bCs/>
          <w:sz w:val="24"/>
          <w:szCs w:val="24"/>
        </w:rPr>
      </w:pPr>
      <w:r w:rsidRPr="0067610B">
        <w:rPr>
          <w:b/>
          <w:bCs/>
          <w:sz w:val="24"/>
          <w:szCs w:val="24"/>
        </w:rPr>
        <w:t>Results and Discussion</w:t>
      </w:r>
    </w:p>
    <w:p w14:paraId="5ACDE796" w14:textId="1F34F301" w:rsidR="003B7FFA" w:rsidRDefault="00CD1BF2" w:rsidP="0067610B">
      <w:pPr>
        <w:spacing w:line="360" w:lineRule="auto"/>
        <w:jc w:val="both"/>
        <w:rPr>
          <w:sz w:val="24"/>
          <w:szCs w:val="24"/>
        </w:rPr>
      </w:pPr>
      <w:r>
        <w:rPr>
          <w:sz w:val="24"/>
          <w:szCs w:val="24"/>
        </w:rPr>
        <w:t xml:space="preserve">Engineering orthogonal biological components poses always a </w:t>
      </w:r>
      <w:r w:rsidR="00C74F0C">
        <w:rPr>
          <w:sz w:val="24"/>
          <w:szCs w:val="24"/>
        </w:rPr>
        <w:t>two-fold</w:t>
      </w:r>
      <w:r w:rsidR="0045177F">
        <w:rPr>
          <w:sz w:val="24"/>
          <w:szCs w:val="24"/>
        </w:rPr>
        <w:t xml:space="preserve"> problem</w:t>
      </w:r>
      <w:r w:rsidR="00122C62">
        <w:rPr>
          <w:sz w:val="24"/>
          <w:szCs w:val="24"/>
        </w:rPr>
        <w:t>:</w:t>
      </w:r>
      <w:r w:rsidR="0045177F">
        <w:rPr>
          <w:sz w:val="24"/>
          <w:szCs w:val="24"/>
        </w:rPr>
        <w:t xml:space="preserve"> </w:t>
      </w:r>
      <w:r w:rsidR="00AD6A06">
        <w:rPr>
          <w:sz w:val="24"/>
          <w:szCs w:val="24"/>
        </w:rPr>
        <w:t>specificity needs to be built upon activity</w:t>
      </w:r>
      <w:r w:rsidR="00E369F8">
        <w:rPr>
          <w:sz w:val="24"/>
          <w:szCs w:val="24"/>
        </w:rPr>
        <w:t xml:space="preserve">, i.e. </w:t>
      </w:r>
      <w:r w:rsidR="0082086E">
        <w:rPr>
          <w:sz w:val="24"/>
          <w:szCs w:val="24"/>
        </w:rPr>
        <w:t>orthogonal origins of replication need to be functional (capable of supporting stable plasmid replication and maintenance).</w:t>
      </w:r>
      <w:r w:rsidR="00487340">
        <w:rPr>
          <w:sz w:val="24"/>
          <w:szCs w:val="24"/>
        </w:rPr>
        <w:t xml:space="preserve"> </w:t>
      </w:r>
      <w:r w:rsidR="002D7D48">
        <w:rPr>
          <w:sz w:val="24"/>
          <w:szCs w:val="24"/>
        </w:rPr>
        <w:t>Therefore, we first focused in generating novel RNAI molecules that could support plasmid replication.</w:t>
      </w:r>
    </w:p>
    <w:p w14:paraId="5D4A93C0" w14:textId="77777777" w:rsidR="002D7D48" w:rsidRPr="0067610B" w:rsidRDefault="002D7D48" w:rsidP="002D7D48">
      <w:pPr>
        <w:spacing w:line="360" w:lineRule="auto"/>
        <w:jc w:val="both"/>
        <w:rPr>
          <w:b/>
          <w:bCs/>
          <w:sz w:val="24"/>
          <w:szCs w:val="24"/>
        </w:rPr>
      </w:pPr>
      <w:r w:rsidRPr="0067610B">
        <w:rPr>
          <w:b/>
          <w:bCs/>
          <w:sz w:val="24"/>
          <w:szCs w:val="24"/>
        </w:rPr>
        <w:t>Library design and selection of viable ColE1 variants</w:t>
      </w:r>
    </w:p>
    <w:p w14:paraId="5C43CDC1" w14:textId="315AE659" w:rsidR="0067300E" w:rsidRDefault="00B57CDD" w:rsidP="0067610B">
      <w:pPr>
        <w:spacing w:line="360" w:lineRule="auto"/>
        <w:jc w:val="both"/>
        <w:rPr>
          <w:sz w:val="24"/>
          <w:szCs w:val="24"/>
        </w:rPr>
      </w:pPr>
      <w:r>
        <w:rPr>
          <w:sz w:val="24"/>
          <w:szCs w:val="24"/>
        </w:rPr>
        <w:t xml:space="preserve">Directed evolution is a </w:t>
      </w:r>
      <w:r w:rsidR="0037506E">
        <w:rPr>
          <w:sz w:val="24"/>
          <w:szCs w:val="24"/>
        </w:rPr>
        <w:t>powerful approach for engineering biological components</w:t>
      </w:r>
      <w:r w:rsidR="00B21C94">
        <w:rPr>
          <w:sz w:val="24"/>
          <w:szCs w:val="24"/>
        </w:rPr>
        <w:t xml:space="preserve"> </w:t>
      </w:r>
      <w:r w:rsidR="009B48E5">
        <w:rPr>
          <w:sz w:val="24"/>
          <w:szCs w:val="24"/>
        </w:rPr>
        <w:t xml:space="preserve">but considerations </w:t>
      </w:r>
      <w:r w:rsidR="00036916">
        <w:rPr>
          <w:sz w:val="24"/>
          <w:szCs w:val="24"/>
        </w:rPr>
        <w:t xml:space="preserve">over sampling and </w:t>
      </w:r>
      <w:r w:rsidR="0022741B">
        <w:rPr>
          <w:sz w:val="24"/>
          <w:szCs w:val="24"/>
        </w:rPr>
        <w:t>density</w:t>
      </w:r>
      <w:r w:rsidR="000F78D0">
        <w:rPr>
          <w:sz w:val="24"/>
          <w:szCs w:val="24"/>
        </w:rPr>
        <w:t xml:space="preserve"> </w:t>
      </w:r>
      <w:r w:rsidR="0067670E">
        <w:rPr>
          <w:sz w:val="24"/>
          <w:szCs w:val="24"/>
        </w:rPr>
        <w:t xml:space="preserve">of the sequence </w:t>
      </w:r>
      <w:r w:rsidR="00C01F1D">
        <w:rPr>
          <w:sz w:val="24"/>
          <w:szCs w:val="24"/>
        </w:rPr>
        <w:t xml:space="preserve">landscape need </w:t>
      </w:r>
      <w:r w:rsidR="000F78D0">
        <w:rPr>
          <w:sz w:val="24"/>
          <w:szCs w:val="24"/>
        </w:rPr>
        <w:t>to be taken into account</w:t>
      </w:r>
      <w:r w:rsidR="00FB235E">
        <w:rPr>
          <w:sz w:val="24"/>
          <w:szCs w:val="24"/>
        </w:rPr>
        <w:fldChar w:fldCharType="begin" w:fldLock="1"/>
      </w:r>
      <w:r w:rsidR="00855FBA">
        <w:rPr>
          <w:sz w:val="24"/>
          <w:szCs w:val="24"/>
        </w:rPr>
        <w:instrText>ADDIN CSL_CITATION {"citationItems":[{"id":"ITEM-1","itemData":{"DOI":"10.1042/BST20160076","ISSN":"14708752","abstract":"©2016 The Author(s). This is an open access article published by Portland Press Limited on behalf of the Biochemical Society and distributed under the Creative Commons Attribution Licence 4.0 (CC BY). Life on Earth is incredibly diverse. Yet, underneath that diversity, there are a number of constants and highly conserved processes: all life is based on DNA and RNA; the genetic code is universal; biology is limited to a small subset of potential chemistries. A vast amount of knowledge has been accrued through describing and characterizing enzymes, biological processes and organisms. Nevertheless, much remains to be understood about the natural world. One of the goals in Synthetic Biology is to recapitulate biological complexity from simple systems made from biological molecules - gaining a deeper understanding of life in the process. Directed evolution is a powerful tool in Synthetic Biology, able to bypass gaps in knowledge and capable of engineering even the most highly conserved biological processes. It encompasses a range of methodologies to create variation in a population and to select individual variants with the desired function - be it a ligand, enzyme, pathway or even whole organisms. Here, we present some of the basic frameworks that underpin all evolution platforms and review some of the recent contributions from directed evolution to synthetic biology, in particular methods that have been used to engineer the Central Dogma and the genetic code.","author":[{"dropping-particle":"","family":"Tizei","given":"P.A.G.","non-dropping-particle":"","parse-names":false,"suffix":""},{"dropping-particle":"","family":"Csibra","given":"E.","non-dropping-particle":"","parse-names":false,"suffix":""},{"dropping-particle":"","family":"Torres","given":"L.","non-dropping-particle":"","parse-names":false,"suffix":""},{"dropping-particle":"","family":"Pinheiro","given":"Vitor B.","non-dropping-particle":"","parse-names":false,"suffix":""}],"container-title":"Biochemical Society Transactions","id":"ITEM-1","issue":"4","issued":{"date-parts":[["2016"]]},"title":"Selection platforms for directed evolution in synthetic biology","type":"article-journal","volume":"44"},"uris":["http://www.mendeley.com/documents/?uuid=30283483-e92b-480d-8b2e-940e593b166b"]}],"mendeley":{"formattedCitation":"(40)","plainTextFormattedCitation":"(40)","previouslyFormattedCitation":"[40]"},"properties":{"noteIndex":0},"schema":"https://github.com/citation-style-language/schema/raw/master/csl-citation.json"}</w:instrText>
      </w:r>
      <w:r w:rsidR="00FB235E">
        <w:rPr>
          <w:sz w:val="24"/>
          <w:szCs w:val="24"/>
        </w:rPr>
        <w:fldChar w:fldCharType="separate"/>
      </w:r>
      <w:r w:rsidR="00855FBA" w:rsidRPr="00855FBA">
        <w:rPr>
          <w:noProof/>
          <w:sz w:val="24"/>
          <w:szCs w:val="24"/>
        </w:rPr>
        <w:t>(40)</w:t>
      </w:r>
      <w:r w:rsidR="00FB235E">
        <w:rPr>
          <w:sz w:val="24"/>
          <w:szCs w:val="24"/>
        </w:rPr>
        <w:fldChar w:fldCharType="end"/>
      </w:r>
      <w:r w:rsidR="00FB235E">
        <w:rPr>
          <w:sz w:val="24"/>
          <w:szCs w:val="24"/>
        </w:rPr>
        <w:t xml:space="preserve">. </w:t>
      </w:r>
      <w:r w:rsidR="00765A09">
        <w:rPr>
          <w:sz w:val="24"/>
          <w:szCs w:val="24"/>
        </w:rPr>
        <w:t>Although RNAI is the shorter RNA regulator, its length still exceeds 100 bases</w:t>
      </w:r>
      <w:r w:rsidR="00B337E4">
        <w:rPr>
          <w:sz w:val="24"/>
          <w:szCs w:val="24"/>
        </w:rPr>
        <w:t xml:space="preserve">, thus thorough sampling of </w:t>
      </w:r>
      <w:r w:rsidR="00CE097A">
        <w:rPr>
          <w:sz w:val="24"/>
          <w:szCs w:val="24"/>
        </w:rPr>
        <w:t>its available</w:t>
      </w:r>
      <w:r w:rsidR="00B337E4">
        <w:rPr>
          <w:sz w:val="24"/>
          <w:szCs w:val="24"/>
        </w:rPr>
        <w:t xml:space="preserve"> sequence space (1.6 x 10</w:t>
      </w:r>
      <w:r w:rsidR="00B337E4">
        <w:rPr>
          <w:sz w:val="24"/>
          <w:szCs w:val="24"/>
          <w:vertAlign w:val="superscript"/>
        </w:rPr>
        <w:t>60</w:t>
      </w:r>
      <w:r w:rsidR="00B337E4">
        <w:rPr>
          <w:sz w:val="24"/>
          <w:szCs w:val="24"/>
        </w:rPr>
        <w:t xml:space="preserve"> variants) </w:t>
      </w:r>
      <w:r w:rsidR="00CE097A">
        <w:rPr>
          <w:sz w:val="24"/>
          <w:szCs w:val="24"/>
        </w:rPr>
        <w:t>is</w:t>
      </w:r>
      <w:r w:rsidR="00B337E4">
        <w:rPr>
          <w:sz w:val="24"/>
          <w:szCs w:val="24"/>
        </w:rPr>
        <w:t xml:space="preserve"> not possible</w:t>
      </w:r>
      <w:r w:rsidR="00104E56">
        <w:rPr>
          <w:sz w:val="24"/>
          <w:szCs w:val="24"/>
        </w:rPr>
        <w:t>. RNAII structure is known to be a</w:t>
      </w:r>
      <w:r w:rsidR="00A23B6A">
        <w:rPr>
          <w:sz w:val="24"/>
          <w:szCs w:val="24"/>
        </w:rPr>
        <w:t>n integral</w:t>
      </w:r>
      <w:r w:rsidR="00104E56">
        <w:rPr>
          <w:sz w:val="24"/>
          <w:szCs w:val="24"/>
        </w:rPr>
        <w:t xml:space="preserve"> part of its mechanism</w:t>
      </w:r>
      <w:r w:rsidR="00B81544">
        <w:rPr>
          <w:sz w:val="24"/>
          <w:szCs w:val="24"/>
        </w:rPr>
        <w:fldChar w:fldCharType="begin" w:fldLock="1"/>
      </w:r>
      <w:r w:rsidR="00855FBA">
        <w:rPr>
          <w:sz w:val="24"/>
          <w:szCs w:val="24"/>
        </w:rPr>
        <w:instrText>ADDIN CSL_CITATION {"citationItems":[{"id":"ITEM-1","itemData":{"DOI":"10.1016/0092-8674(90)90370-T","ISSN":"00928674","PMID":"1695550","abstract":"At the replication origin of ColE1 plasmid, a persistent hybrid is formed between the primer precursor (RNA II) and its template DNA. The wild-type sequence in the region 13 to 20 bp upstream (-20 region) of the origin is required to form this persistent hybrid. While the template strand for transcription of this region, containing a stretch of six dC residues, is needed, the nontemplate strand can be deleted. Certain mutations in far upstream regions that prevent hybrid formation are suppressed by the nontemplate strand deletion. In RNA II that is forming a persistent hybrid, the region about 265 nucleotides upstream of the origin (-265 region) can also form a hybrid with the template DNA. The -265 region of RNA II that consists of a stretch of six rG residues probably interacts with the dC stretch of the -20 region in the template strand to promote hybrid formation. © 1990.","author":[{"dropping-particle":"","family":"Masukata","given":"Hisao","non-dropping-particle":"","parse-names":false,"suffix":""},{"dropping-particle":"","family":"Tomizawa","given":"Jun-ichi","non-dropping-particle":"","parse-names":false,"suffix":""}],"container-title":"Cell","id":"ITEM-1","issue":"2","issued":{"date-parts":[["1990","7","27"]]},"page":"331-338","publisher":"Cell","title":"A mechanism of formation of a persistent hybrid between elongating RNA and template DNA","type":"article-journal","volume":"62"},"uris":["http://www.mendeley.com/documents/?uuid=5f62a76f-30b7-3aca-83c2-0b19b5aae922"]}],"mendeley":{"formattedCitation":"(41)","plainTextFormattedCitation":"(41)","previouslyFormattedCitation":"[41]"},"properties":{"noteIndex":0},"schema":"https://github.com/citation-style-language/schema/raw/master/csl-citation.json"}</w:instrText>
      </w:r>
      <w:r w:rsidR="00B81544">
        <w:rPr>
          <w:sz w:val="24"/>
          <w:szCs w:val="24"/>
        </w:rPr>
        <w:fldChar w:fldCharType="separate"/>
      </w:r>
      <w:r w:rsidR="00855FBA" w:rsidRPr="00855FBA">
        <w:rPr>
          <w:noProof/>
          <w:sz w:val="24"/>
          <w:szCs w:val="24"/>
        </w:rPr>
        <w:t>(41)</w:t>
      </w:r>
      <w:r w:rsidR="00B81544">
        <w:rPr>
          <w:sz w:val="24"/>
          <w:szCs w:val="24"/>
        </w:rPr>
        <w:fldChar w:fldCharType="end"/>
      </w:r>
      <w:r w:rsidR="00F458E7">
        <w:rPr>
          <w:sz w:val="24"/>
          <w:szCs w:val="24"/>
        </w:rPr>
        <w:t>, therefore</w:t>
      </w:r>
      <w:r w:rsidR="000B0FB4">
        <w:rPr>
          <w:sz w:val="24"/>
          <w:szCs w:val="24"/>
        </w:rPr>
        <w:t xml:space="preserve"> we reasoned that </w:t>
      </w:r>
      <w:r w:rsidR="003E59EF">
        <w:rPr>
          <w:sz w:val="24"/>
          <w:szCs w:val="24"/>
        </w:rPr>
        <w:t>targeting sequence variation to the hairpin</w:t>
      </w:r>
      <w:r w:rsidR="009D16BE">
        <w:rPr>
          <w:sz w:val="24"/>
          <w:szCs w:val="24"/>
        </w:rPr>
        <w:t>s’</w:t>
      </w:r>
      <w:r w:rsidR="003E59EF">
        <w:rPr>
          <w:sz w:val="24"/>
          <w:szCs w:val="24"/>
        </w:rPr>
        <w:t xml:space="preserve"> stems</w:t>
      </w:r>
      <w:r w:rsidR="009D16BE">
        <w:rPr>
          <w:sz w:val="24"/>
          <w:szCs w:val="24"/>
        </w:rPr>
        <w:t xml:space="preserve"> would likely disrupt </w:t>
      </w:r>
      <w:r w:rsidR="0067300E">
        <w:rPr>
          <w:sz w:val="24"/>
          <w:szCs w:val="24"/>
        </w:rPr>
        <w:t>their</w:t>
      </w:r>
      <w:r w:rsidR="0086757B">
        <w:rPr>
          <w:sz w:val="24"/>
          <w:szCs w:val="24"/>
        </w:rPr>
        <w:t xml:space="preserve"> structure, creating a</w:t>
      </w:r>
      <w:r w:rsidR="006C69D6">
        <w:rPr>
          <w:sz w:val="24"/>
          <w:szCs w:val="24"/>
        </w:rPr>
        <w:t xml:space="preserve"> sparsely populated sequence space – even if </w:t>
      </w:r>
      <w:r w:rsidR="0067300E">
        <w:rPr>
          <w:sz w:val="24"/>
          <w:szCs w:val="24"/>
        </w:rPr>
        <w:t>alternative stems could lead to greater orthogonality.</w:t>
      </w:r>
    </w:p>
    <w:p w14:paraId="2A1C22CA" w14:textId="77777777" w:rsidR="00661C1B" w:rsidRDefault="0067300E" w:rsidP="00661C1B">
      <w:pPr>
        <w:spacing w:line="360" w:lineRule="auto"/>
        <w:jc w:val="both"/>
        <w:rPr>
          <w:sz w:val="24"/>
          <w:szCs w:val="24"/>
        </w:rPr>
      </w:pPr>
      <w:r>
        <w:rPr>
          <w:sz w:val="24"/>
          <w:szCs w:val="24"/>
        </w:rPr>
        <w:t>Restricting variation to the loops (and their immediate vicinity) limits the maximum size of the search space (4.3 x 10</w:t>
      </w:r>
      <w:r>
        <w:rPr>
          <w:sz w:val="24"/>
          <w:szCs w:val="24"/>
          <w:vertAlign w:val="superscript"/>
        </w:rPr>
        <w:t>9</w:t>
      </w:r>
      <w:r>
        <w:rPr>
          <w:sz w:val="24"/>
          <w:szCs w:val="24"/>
        </w:rPr>
        <w:t xml:space="preserve"> variants) and would be expected to minimise disruption of the ternary structure of the hairpins. DNA oligonucleotides containing the required degeneracy (Figure 1) were used to generate origin libraries by PCR and subsequent Type IIS cloning.</w:t>
      </w:r>
      <w:r w:rsidR="00661C1B">
        <w:rPr>
          <w:sz w:val="24"/>
          <w:szCs w:val="24"/>
        </w:rPr>
        <w:t xml:space="preserve"> Transformation of the assembled libraries served therefore as a selection mechanism to isolate viable plasmids. </w:t>
      </w:r>
    </w:p>
    <w:p w14:paraId="02442636" w14:textId="218318B4" w:rsidR="00DA1A65" w:rsidRDefault="00844437" w:rsidP="0067610B">
      <w:pPr>
        <w:spacing w:line="360" w:lineRule="auto"/>
        <w:jc w:val="both"/>
        <w:rPr>
          <w:i/>
          <w:iCs/>
        </w:rPr>
      </w:pPr>
      <w:r w:rsidRPr="00965E0A">
        <w:rPr>
          <w:b/>
          <w:bCs/>
          <w:i/>
          <w:iCs/>
          <w:noProof/>
          <w:color w:val="000000" w:themeColor="text1"/>
        </w:rPr>
        <w:lastRenderedPageBreak/>
        <w:drawing>
          <wp:anchor distT="0" distB="0" distL="114300" distR="114300" simplePos="0" relativeHeight="251658240" behindDoc="0" locked="0" layoutInCell="1" allowOverlap="1" wp14:anchorId="65DE2ED8" wp14:editId="032F051D">
            <wp:simplePos x="0" y="0"/>
            <wp:positionH relativeFrom="column">
              <wp:posOffset>0</wp:posOffset>
            </wp:positionH>
            <wp:positionV relativeFrom="paragraph">
              <wp:posOffset>0</wp:posOffset>
            </wp:positionV>
            <wp:extent cx="4890526" cy="4445517"/>
            <wp:effectExtent l="0" t="0" r="5715" b="0"/>
            <wp:wrapTopAndBottom/>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0526" cy="4445517"/>
                    </a:xfrm>
                    <a:prstGeom prst="rect">
                      <a:avLst/>
                    </a:prstGeom>
                  </pic:spPr>
                </pic:pic>
              </a:graphicData>
            </a:graphic>
          </wp:anchor>
        </w:drawing>
      </w:r>
      <w:r w:rsidR="00AC6654" w:rsidRPr="00965E0A">
        <w:rPr>
          <w:b/>
          <w:bCs/>
          <w:i/>
          <w:iCs/>
          <w:color w:val="000000" w:themeColor="text1"/>
        </w:rPr>
        <w:t>Figure 1:</w:t>
      </w:r>
      <w:r w:rsidR="00AE4028" w:rsidRPr="00965E0A">
        <w:rPr>
          <w:b/>
          <w:bCs/>
          <w:i/>
          <w:iCs/>
          <w:color w:val="000000" w:themeColor="text1"/>
        </w:rPr>
        <w:t xml:space="preserve"> </w:t>
      </w:r>
      <w:r w:rsidR="00101340" w:rsidRPr="00965E0A">
        <w:rPr>
          <w:b/>
          <w:bCs/>
          <w:i/>
          <w:iCs/>
          <w:color w:val="000000" w:themeColor="text1"/>
        </w:rPr>
        <w:t>RNAI structu</w:t>
      </w:r>
      <w:r w:rsidR="003522F7" w:rsidRPr="00965E0A">
        <w:rPr>
          <w:b/>
          <w:bCs/>
          <w:i/>
          <w:iCs/>
          <w:color w:val="000000" w:themeColor="text1"/>
        </w:rPr>
        <w:t xml:space="preserve">re, sequence comparison between common </w:t>
      </w:r>
      <w:r w:rsidR="00115C79" w:rsidRPr="00965E0A">
        <w:rPr>
          <w:b/>
          <w:bCs/>
          <w:i/>
          <w:iCs/>
          <w:color w:val="000000" w:themeColor="text1"/>
        </w:rPr>
        <w:t>c</w:t>
      </w:r>
      <w:r w:rsidR="003522F7" w:rsidRPr="00965E0A">
        <w:rPr>
          <w:b/>
          <w:bCs/>
          <w:i/>
          <w:iCs/>
          <w:color w:val="000000" w:themeColor="text1"/>
        </w:rPr>
        <w:t xml:space="preserve">olE1 origins </w:t>
      </w:r>
      <w:r w:rsidR="00105DBD" w:rsidRPr="00965E0A">
        <w:rPr>
          <w:b/>
          <w:bCs/>
          <w:i/>
          <w:iCs/>
          <w:color w:val="000000" w:themeColor="text1"/>
        </w:rPr>
        <w:t>and RNAI libraries.</w:t>
      </w:r>
      <w:r w:rsidR="00105DBD" w:rsidRPr="00965E0A">
        <w:rPr>
          <w:b/>
          <w:bCs/>
          <w:i/>
          <w:iCs/>
          <w:color w:val="5B9BD5" w:themeColor="accent5"/>
          <w:sz w:val="24"/>
          <w:szCs w:val="24"/>
        </w:rPr>
        <w:t xml:space="preserve"> </w:t>
      </w:r>
      <w:r w:rsidR="002821D0" w:rsidRPr="00965E0A">
        <w:rPr>
          <w:b/>
          <w:i/>
          <w:iCs/>
        </w:rPr>
        <w:t>A.</w:t>
      </w:r>
      <w:r w:rsidR="002821D0" w:rsidRPr="00965E0A">
        <w:rPr>
          <w:i/>
          <w:iCs/>
        </w:rPr>
        <w:t xml:space="preserve">  The predicted structure for RNA I</w:t>
      </w:r>
      <w:r w:rsidR="001F2579" w:rsidRPr="00965E0A">
        <w:rPr>
          <w:i/>
          <w:iCs/>
        </w:rPr>
        <w:t xml:space="preserve">, generated </w:t>
      </w:r>
      <w:r w:rsidR="001074B8" w:rsidRPr="00965E0A">
        <w:rPr>
          <w:i/>
          <w:iCs/>
        </w:rPr>
        <w:t>by the</w:t>
      </w:r>
      <w:r w:rsidR="001F2579" w:rsidRPr="00965E0A">
        <w:rPr>
          <w:i/>
          <w:iCs/>
        </w:rPr>
        <w:t xml:space="preserve"> ViennaRNA suite</w:t>
      </w:r>
      <w:r w:rsidR="00115C79" w:rsidRPr="00965E0A">
        <w:rPr>
          <w:i/>
          <w:iCs/>
        </w:rPr>
        <w:fldChar w:fldCharType="begin" w:fldLock="1"/>
      </w:r>
      <w:r w:rsidR="00855FBA">
        <w:rPr>
          <w:i/>
          <w:iCs/>
        </w:rPr>
        <w:instrText>ADDIN CSL_CITATION {"citationItems":[{"id":"ITEM-1","itemData":{"DOI":"10.1186/1748-7188-6-26/TABLES/2","ISSN":"17487188","PMID":"22115189","abstract":"Background: Secondary structure forms an important intermediate level of description of nucleic acids that encapsulates the dominating part of the folding energy, is often well conserved in evolution, and is routinely used as a basis to explain experimental findings. Based on carefully measured thermodynamic parameters, exact dynamic programming algorithms can be used to compute ground states, base pairing probabilities, as well as thermodynamic properties.Results: The ViennaRNA Package has been a widely used compilation of RNA secondary structure related computer programs for nearly two decades. Major changes in the structure of the standard energy model, the Turner 2004 parameters, the pervasive use of multi-core CPUs, and an increasing number of algorithmic variants prompted a major technical overhaul of both the underlying RNAlib and the interactive user programs. New features include an expanded repertoire of tools to assess RNA-RNA interactions and restricted ensembles of structures, additional output information such as centroid structures and maximum expected accuracy structures derived from base pairing probabilities, or z-scores for locally stable secondary structures, and support for input in fasta format. Updates were implemented without compromising the computational efficiency of the core algorithms and ensuring compatibility with earlier versions.Conclusions: The ViennaRNA Package 2.0, supporting concurrent computations via OpenMP, can be downloaded from http://www.tbi.univie.ac.at/RNA. © 2011 Lorenz et al; licensee BioMed Central Ltd.","author":[{"dropping-particle":"","family":"Lorenz","given":"Ronny","non-dropping-particle":"","parse-names":false,"suffix":""},{"dropping-particle":"","family":"Bernhart","given":"Stephan H.","non-dropping-particle":"","parse-names":false,"suffix":""},{"dropping-particle":"","family":"Höner zu Siederdissen","given":"Christian","non-dropping-particle":"","parse-names":false,"suffix":""},{"dropping-particle":"","family":"Tafer","given":"Hakim","non-dropping-particle":"","parse-names":false,"suffix":""},{"dropping-particle":"","family":"Flamm","given":"Christoph","non-dropping-particle":"","parse-names":false,"suffix":""},{"dropping-particle":"","family":"Stadler","given":"Peter F.","non-dropping-particle":"","parse-names":false,"suffix":""},{"dropping-particle":"","family":"Hofacker","given":"Ivo L.","non-dropping-particle":"","parse-names":false,"suffix":""}],"container-title":"Algorithms for Molecular Biology","id":"ITEM-1","issue":"1","issued":{"date-parts":[["2011","11","24"]]},"page":"1-14","publisher":"BioMed Central","title":"ViennaRNA Package 2.0","type":"article-journal","volume":"6"},"uris":["http://www.mendeley.com/documents/?uuid=57a35e8b-dd71-372b-9082-ad16c2bf3bcd"]}],"mendeley":{"formattedCitation":"(42)","plainTextFormattedCitation":"(42)","previouslyFormattedCitation":"[42]"},"properties":{"noteIndex":0},"schema":"https://github.com/citation-style-language/schema/raw/master/csl-citation.json"}</w:instrText>
      </w:r>
      <w:r w:rsidR="00115C79" w:rsidRPr="00965E0A">
        <w:rPr>
          <w:i/>
          <w:iCs/>
        </w:rPr>
        <w:fldChar w:fldCharType="separate"/>
      </w:r>
      <w:r w:rsidR="00855FBA" w:rsidRPr="00855FBA">
        <w:rPr>
          <w:iCs/>
          <w:noProof/>
        </w:rPr>
        <w:t>(42)</w:t>
      </w:r>
      <w:r w:rsidR="00115C79" w:rsidRPr="00965E0A">
        <w:rPr>
          <w:i/>
          <w:iCs/>
        </w:rPr>
        <w:fldChar w:fldCharType="end"/>
      </w:r>
      <w:r w:rsidR="001F2579" w:rsidRPr="00965E0A">
        <w:rPr>
          <w:i/>
          <w:iCs/>
        </w:rPr>
        <w:t>,</w:t>
      </w:r>
      <w:r w:rsidR="002821D0" w:rsidRPr="00965E0A">
        <w:rPr>
          <w:i/>
          <w:iCs/>
        </w:rPr>
        <w:t xml:space="preserve"> consists of three stem loops named</w:t>
      </w:r>
      <w:r w:rsidR="00DF6C93" w:rsidRPr="00965E0A">
        <w:rPr>
          <w:i/>
          <w:iCs/>
        </w:rPr>
        <w:t xml:space="preserve"> </w:t>
      </w:r>
      <w:r w:rsidR="00115C79" w:rsidRPr="00965E0A">
        <w:rPr>
          <w:i/>
          <w:iCs/>
        </w:rPr>
        <w:t>(5</w:t>
      </w:r>
      <w:r w:rsidR="00115C79" w:rsidRPr="00965E0A">
        <w:rPr>
          <w:rFonts w:cstheme="minorHAnsi"/>
          <w:i/>
          <w:iCs/>
        </w:rPr>
        <w:t>′→</w:t>
      </w:r>
      <w:r w:rsidR="00115C79" w:rsidRPr="00965E0A">
        <w:rPr>
          <w:i/>
          <w:iCs/>
        </w:rPr>
        <w:t>3</w:t>
      </w:r>
      <w:r w:rsidR="00115C79" w:rsidRPr="00965E0A">
        <w:rPr>
          <w:rFonts w:cstheme="minorHAnsi"/>
          <w:i/>
          <w:iCs/>
        </w:rPr>
        <w:t xml:space="preserve">′) </w:t>
      </w:r>
      <w:r w:rsidR="002821D0" w:rsidRPr="00965E0A">
        <w:rPr>
          <w:i/>
          <w:iCs/>
        </w:rPr>
        <w:t>Hairpin I</w:t>
      </w:r>
      <w:r w:rsidR="008B7A65" w:rsidRPr="00965E0A">
        <w:rPr>
          <w:i/>
          <w:iCs/>
        </w:rPr>
        <w:t>II</w:t>
      </w:r>
      <w:r w:rsidR="002821D0" w:rsidRPr="00965E0A">
        <w:rPr>
          <w:i/>
          <w:iCs/>
        </w:rPr>
        <w:t>, II, and</w:t>
      </w:r>
      <w:r w:rsidR="00563933" w:rsidRPr="00965E0A">
        <w:rPr>
          <w:i/>
          <w:iCs/>
        </w:rPr>
        <w:t xml:space="preserve"> </w:t>
      </w:r>
      <w:r w:rsidR="002821D0" w:rsidRPr="00965E0A">
        <w:rPr>
          <w:i/>
          <w:iCs/>
        </w:rPr>
        <w:t xml:space="preserve">I. </w:t>
      </w:r>
      <w:r w:rsidR="00563933" w:rsidRPr="00965E0A">
        <w:rPr>
          <w:i/>
          <w:iCs/>
        </w:rPr>
        <w:t>Nucleotides are coloured based on the</w:t>
      </w:r>
      <w:r w:rsidR="004D6319" w:rsidRPr="00965E0A">
        <w:rPr>
          <w:i/>
          <w:iCs/>
        </w:rPr>
        <w:t xml:space="preserve">ir position in the structure, whether in stem (green), loop (blue), </w:t>
      </w:r>
      <w:r w:rsidR="00B72F77" w:rsidRPr="00965E0A">
        <w:rPr>
          <w:i/>
          <w:iCs/>
        </w:rPr>
        <w:t xml:space="preserve">stem bulges and mismatches (yellow), and unpaired (orange). </w:t>
      </w:r>
      <w:r w:rsidR="002821D0" w:rsidRPr="00965E0A">
        <w:rPr>
          <w:b/>
          <w:i/>
          <w:iCs/>
        </w:rPr>
        <w:t xml:space="preserve">B. </w:t>
      </w:r>
      <w:r w:rsidR="00B85325" w:rsidRPr="00965E0A">
        <w:rPr>
          <w:i/>
          <w:iCs/>
        </w:rPr>
        <w:t>Natural p</w:t>
      </w:r>
      <w:r w:rsidR="002821D0" w:rsidRPr="00965E0A">
        <w:rPr>
          <w:i/>
          <w:iCs/>
        </w:rPr>
        <w:t xml:space="preserve">lasmids </w:t>
      </w:r>
      <w:r w:rsidR="00B72F77" w:rsidRPr="00965E0A">
        <w:rPr>
          <w:i/>
          <w:iCs/>
        </w:rPr>
        <w:t>from</w:t>
      </w:r>
      <w:r w:rsidR="002821D0" w:rsidRPr="00965E0A">
        <w:rPr>
          <w:i/>
          <w:iCs/>
        </w:rPr>
        <w:t xml:space="preserve"> different compatibility groups </w:t>
      </w:r>
      <w:r w:rsidR="00B85325" w:rsidRPr="00965E0A">
        <w:rPr>
          <w:i/>
          <w:iCs/>
        </w:rPr>
        <w:t xml:space="preserve">show </w:t>
      </w:r>
      <w:r w:rsidR="00235510" w:rsidRPr="00965E0A">
        <w:rPr>
          <w:i/>
          <w:iCs/>
        </w:rPr>
        <w:t>similarities</w:t>
      </w:r>
      <w:r w:rsidR="00B85325" w:rsidRPr="00965E0A">
        <w:rPr>
          <w:i/>
          <w:iCs/>
        </w:rPr>
        <w:t xml:space="preserve"> in sequence</w:t>
      </w:r>
      <w:r w:rsidR="00235510" w:rsidRPr="00965E0A">
        <w:rPr>
          <w:i/>
          <w:iCs/>
        </w:rPr>
        <w:t xml:space="preserve"> (shown as . in comparison to colE1 origin in pET29)</w:t>
      </w:r>
      <w:r w:rsidR="00B85325" w:rsidRPr="00965E0A">
        <w:rPr>
          <w:i/>
          <w:iCs/>
        </w:rPr>
        <w:t xml:space="preserve"> in both stem and loops</w:t>
      </w:r>
      <w:r w:rsidR="0015104E" w:rsidRPr="00965E0A">
        <w:rPr>
          <w:i/>
          <w:iCs/>
        </w:rPr>
        <w:t xml:space="preserve"> (highlighted in blue). </w:t>
      </w:r>
      <w:r w:rsidR="002821D0" w:rsidRPr="00965E0A">
        <w:rPr>
          <w:b/>
          <w:i/>
          <w:iCs/>
        </w:rPr>
        <w:t>C.</w:t>
      </w:r>
      <w:r w:rsidR="002821D0" w:rsidRPr="00965E0A">
        <w:rPr>
          <w:i/>
          <w:iCs/>
        </w:rPr>
        <w:t xml:space="preserve"> </w:t>
      </w:r>
      <w:r w:rsidR="00BF17E3" w:rsidRPr="00965E0A">
        <w:rPr>
          <w:i/>
          <w:iCs/>
        </w:rPr>
        <w:t>L</w:t>
      </w:r>
      <w:r w:rsidR="002821D0" w:rsidRPr="00965E0A">
        <w:rPr>
          <w:i/>
          <w:iCs/>
        </w:rPr>
        <w:t xml:space="preserve">ibraries </w:t>
      </w:r>
      <w:r w:rsidR="006C3AE4" w:rsidRPr="00965E0A">
        <w:rPr>
          <w:i/>
          <w:iCs/>
        </w:rPr>
        <w:t>were designed to introduce sequence variation (red) around loop regions</w:t>
      </w:r>
      <w:r w:rsidR="002821D0" w:rsidRPr="00965E0A">
        <w:rPr>
          <w:i/>
          <w:iCs/>
        </w:rPr>
        <w:t xml:space="preserve">. </w:t>
      </w:r>
      <w:r w:rsidR="00694A71" w:rsidRPr="00965E0A">
        <w:rPr>
          <w:i/>
          <w:iCs/>
        </w:rPr>
        <w:t xml:space="preserve">Sequence degeneracies are shown as per IUPAC </w:t>
      </w:r>
      <w:r w:rsidR="00965E0A" w:rsidRPr="00965E0A">
        <w:rPr>
          <w:i/>
          <w:iCs/>
        </w:rPr>
        <w:t>(N = A, C, G or T; K = C, T).</w:t>
      </w:r>
    </w:p>
    <w:p w14:paraId="71F74563" w14:textId="77777777" w:rsidR="00965E0A" w:rsidRPr="00965E0A" w:rsidRDefault="00965E0A" w:rsidP="0067610B">
      <w:pPr>
        <w:spacing w:line="360" w:lineRule="auto"/>
        <w:jc w:val="both"/>
        <w:rPr>
          <w:i/>
          <w:iCs/>
        </w:rPr>
      </w:pPr>
    </w:p>
    <w:p w14:paraId="1739CFF0" w14:textId="3B2CA791" w:rsidR="0067300E" w:rsidRDefault="00661C1B" w:rsidP="0067610B">
      <w:pPr>
        <w:spacing w:line="360" w:lineRule="auto"/>
        <w:jc w:val="both"/>
        <w:rPr>
          <w:sz w:val="24"/>
          <w:szCs w:val="24"/>
        </w:rPr>
      </w:pPr>
      <w:r>
        <w:rPr>
          <w:sz w:val="24"/>
          <w:szCs w:val="24"/>
        </w:rPr>
        <w:t>Viable plasmids isolated from the transformation of Library #1</w:t>
      </w:r>
      <w:r w:rsidR="00940965">
        <w:rPr>
          <w:sz w:val="24"/>
          <w:szCs w:val="24"/>
        </w:rPr>
        <w:t xml:space="preserve">, were </w:t>
      </w:r>
      <w:r w:rsidR="0067300E">
        <w:rPr>
          <w:sz w:val="24"/>
          <w:szCs w:val="24"/>
        </w:rPr>
        <w:t>recovered and sampled by NGS (</w:t>
      </w:r>
      <w:r w:rsidR="0067300E" w:rsidRPr="0067300E">
        <w:rPr>
          <w:b/>
          <w:bCs/>
          <w:sz w:val="24"/>
          <w:szCs w:val="24"/>
        </w:rPr>
        <w:t>SI Fig 1</w:t>
      </w:r>
      <w:r w:rsidR="0067300E">
        <w:rPr>
          <w:sz w:val="24"/>
          <w:szCs w:val="24"/>
        </w:rPr>
        <w:t xml:space="preserve"> and </w:t>
      </w:r>
      <w:r w:rsidR="0067300E" w:rsidRPr="0067300E">
        <w:rPr>
          <w:b/>
          <w:bCs/>
          <w:sz w:val="24"/>
          <w:szCs w:val="24"/>
        </w:rPr>
        <w:t xml:space="preserve">SI Table </w:t>
      </w:r>
      <w:r w:rsidR="00391941">
        <w:rPr>
          <w:b/>
          <w:bCs/>
          <w:sz w:val="24"/>
          <w:szCs w:val="24"/>
        </w:rPr>
        <w:t>3</w:t>
      </w:r>
      <w:r w:rsidR="0067300E">
        <w:rPr>
          <w:sz w:val="24"/>
          <w:szCs w:val="24"/>
        </w:rPr>
        <w:t xml:space="preserve">). It confirmed that alternative loops are possible and that all loops can tolerate diversification. Notably, whether </w:t>
      </w:r>
      <w:r w:rsidR="00DD567F">
        <w:rPr>
          <w:sz w:val="24"/>
          <w:szCs w:val="24"/>
        </w:rPr>
        <w:t>artefact</w:t>
      </w:r>
      <w:r w:rsidR="00146DA5">
        <w:rPr>
          <w:sz w:val="24"/>
          <w:szCs w:val="24"/>
        </w:rPr>
        <w:t>s</w:t>
      </w:r>
      <w:r w:rsidR="00DD567F">
        <w:rPr>
          <w:sz w:val="24"/>
          <w:szCs w:val="24"/>
        </w:rPr>
        <w:t xml:space="preserve"> of </w:t>
      </w:r>
      <w:r w:rsidR="00146DA5">
        <w:rPr>
          <w:sz w:val="24"/>
          <w:szCs w:val="24"/>
        </w:rPr>
        <w:t xml:space="preserve">NGS sample preparation, or active </w:t>
      </w:r>
      <w:r w:rsidR="009C34B7">
        <w:rPr>
          <w:i/>
          <w:iCs/>
          <w:sz w:val="24"/>
          <w:szCs w:val="24"/>
        </w:rPr>
        <w:t>in vivo</w:t>
      </w:r>
      <w:r w:rsidR="009C34B7">
        <w:rPr>
          <w:sz w:val="24"/>
          <w:szCs w:val="24"/>
        </w:rPr>
        <w:t xml:space="preserve"> </w:t>
      </w:r>
      <w:r w:rsidR="00146DA5">
        <w:rPr>
          <w:sz w:val="24"/>
          <w:szCs w:val="24"/>
        </w:rPr>
        <w:t xml:space="preserve">selection during </w:t>
      </w:r>
      <w:r w:rsidR="009C34B7">
        <w:rPr>
          <w:sz w:val="24"/>
          <w:szCs w:val="24"/>
        </w:rPr>
        <w:t>recovery, deletions and insertions were also observed both within and outside of the expected diversity</w:t>
      </w:r>
      <w:r w:rsidR="008B246C">
        <w:rPr>
          <w:sz w:val="24"/>
          <w:szCs w:val="24"/>
        </w:rPr>
        <w:t xml:space="preserve"> – with a potential hotspot near the 3</w:t>
      </w:r>
      <w:r w:rsidR="008B246C">
        <w:rPr>
          <w:rFonts w:cstheme="minorHAnsi"/>
          <w:sz w:val="24"/>
          <w:szCs w:val="24"/>
        </w:rPr>
        <w:t>′</w:t>
      </w:r>
      <w:r w:rsidR="008B246C">
        <w:rPr>
          <w:sz w:val="24"/>
          <w:szCs w:val="24"/>
        </w:rPr>
        <w:t>-end of stem IIIb</w:t>
      </w:r>
      <w:r w:rsidR="00A03530">
        <w:rPr>
          <w:sz w:val="24"/>
          <w:szCs w:val="24"/>
        </w:rPr>
        <w:t xml:space="preserve"> (</w:t>
      </w:r>
      <w:r w:rsidR="00A03530" w:rsidRPr="00A03530">
        <w:rPr>
          <w:b/>
          <w:bCs/>
          <w:sz w:val="24"/>
          <w:szCs w:val="24"/>
        </w:rPr>
        <w:t>SI Fig 1</w:t>
      </w:r>
      <w:r w:rsidR="00A03530">
        <w:rPr>
          <w:sz w:val="24"/>
          <w:szCs w:val="24"/>
        </w:rPr>
        <w:t>).</w:t>
      </w:r>
      <w:r w:rsidR="005059F8">
        <w:rPr>
          <w:sz w:val="24"/>
          <w:szCs w:val="24"/>
        </w:rPr>
        <w:t xml:space="preserve"> </w:t>
      </w:r>
    </w:p>
    <w:p w14:paraId="3D9F129D" w14:textId="6807CE6B" w:rsidR="00A10468" w:rsidRPr="00D7094D" w:rsidRDefault="00B702F6" w:rsidP="0067610B">
      <w:pPr>
        <w:spacing w:line="360" w:lineRule="auto"/>
        <w:jc w:val="both"/>
        <w:rPr>
          <w:b/>
          <w:bCs/>
          <w:sz w:val="24"/>
          <w:szCs w:val="24"/>
        </w:rPr>
      </w:pPr>
      <w:r w:rsidRPr="00D7094D">
        <w:rPr>
          <w:b/>
          <w:bCs/>
          <w:sz w:val="24"/>
          <w:szCs w:val="24"/>
        </w:rPr>
        <w:lastRenderedPageBreak/>
        <w:t>Selecting</w:t>
      </w:r>
      <w:r w:rsidR="00D7094D" w:rsidRPr="00D7094D">
        <w:rPr>
          <w:b/>
          <w:bCs/>
          <w:sz w:val="24"/>
          <w:szCs w:val="24"/>
        </w:rPr>
        <w:t xml:space="preserve"> colE1 compatible origins</w:t>
      </w:r>
      <w:r w:rsidR="002350E6">
        <w:rPr>
          <w:b/>
          <w:bCs/>
          <w:sz w:val="24"/>
          <w:szCs w:val="24"/>
        </w:rPr>
        <w:t xml:space="preserve"> by serial passaging</w:t>
      </w:r>
    </w:p>
    <w:p w14:paraId="583F4959" w14:textId="79184BA3" w:rsidR="00FF0277" w:rsidRDefault="00EB1593" w:rsidP="0067610B">
      <w:pPr>
        <w:spacing w:line="360" w:lineRule="auto"/>
        <w:jc w:val="both"/>
        <w:rPr>
          <w:sz w:val="24"/>
          <w:szCs w:val="24"/>
        </w:rPr>
      </w:pPr>
      <w:r>
        <w:rPr>
          <w:sz w:val="24"/>
          <w:szCs w:val="24"/>
        </w:rPr>
        <w:t>Given that single point mutations in RNAI have been shown to be sufficient to affect plasmid incompatibility</w:t>
      </w:r>
      <w:r>
        <w:rPr>
          <w:sz w:val="24"/>
          <w:szCs w:val="24"/>
        </w:rPr>
        <w:fldChar w:fldCharType="begin" w:fldLock="1"/>
      </w:r>
      <w:r w:rsidR="00855FBA">
        <w:rPr>
          <w:sz w:val="24"/>
          <w:szCs w:val="24"/>
        </w:rPr>
        <w:instrText>ADDIN CSL_CITATION {"citationItems":[{"id":"ITEM-1","itemData":{"DOI":"10.1038/294623a0","ISSN":"0028-0836","abstract":"Four single base pair mutations in the region that codes for RNA I create new incompatibility groups while preserving the mechanism of control of initiation of DNA replication in a ColE1-type plasmid. Sequence analysis of these base substitutions points to the primary importance of the central loop of the cloverleaf structure of RNA I in this control mechanism. © 1981 Nature Publishing Group.","author":[{"dropping-particle":"","family":"Lacatena","given":"R. M.","non-dropping-particle":"","parse-names":false,"suffix":""},{"dropping-particle":"","family":"Cesareni","given":"G.","non-dropping-particle":"","parse-names":false,"suffix":""}],"container-title":"Nature","id":"ITEM-1","issue":"5842","issued":{"date-parts":[["1981","12"]]},"page":"623-626","title":"Base pairing of RNA I with its complementary sequence in the primer precursor inhibits ColE1 replication","type":"article-journal","volume":"294"},"uris":["http://www.mendeley.com/documents/?uuid=70e15405-63ad-42ca-8f49-c8998aa42d57"]},{"id":"ITEM-2","itemData":{"DOI":"10.1073/pnas.78.10.6096","ISSN":"0027-8424","PMID":"6171811","author":[{"dropping-particle":"","family":"Tomizawa","given":"J.","non-dropping-particle":"","parse-names":false,"suffix":""},{"dropping-particle":"","family":"Itoh","given":"T.","non-dropping-particle":"","parse-names":false,"suffix":""}],"container-title":"Proceedings of the National Academy of Sciences","id":"ITEM-2","issue":"10","issued":{"date-parts":[["1981","10","1"]]},"page":"6096-6100","title":"Plasmid ColE1 incompatibility determined by interaction of RNA I with primer transcript.","type":"article-journal","volume":"78"},"uris":["http://www.mendeley.com/documents/?uuid=3235ca72-cb4d-452b-a3f5-5c65adffae96"]}],"mendeley":{"formattedCitation":"(18, 23)","plainTextFormattedCitation":"(18, 23)","previouslyFormattedCitation":"[18,23]"},"properties":{"noteIndex":0},"schema":"https://github.com/citation-style-language/schema/raw/master/csl-citation.json"}</w:instrText>
      </w:r>
      <w:r>
        <w:rPr>
          <w:sz w:val="24"/>
          <w:szCs w:val="24"/>
        </w:rPr>
        <w:fldChar w:fldCharType="separate"/>
      </w:r>
      <w:r w:rsidR="00855FBA" w:rsidRPr="00855FBA">
        <w:rPr>
          <w:noProof/>
          <w:sz w:val="24"/>
          <w:szCs w:val="24"/>
        </w:rPr>
        <w:t>(18, 23)</w:t>
      </w:r>
      <w:r>
        <w:rPr>
          <w:sz w:val="24"/>
          <w:szCs w:val="24"/>
        </w:rPr>
        <w:fldChar w:fldCharType="end"/>
      </w:r>
      <w:r>
        <w:rPr>
          <w:sz w:val="24"/>
          <w:szCs w:val="24"/>
        </w:rPr>
        <w:t xml:space="preserve">, we </w:t>
      </w:r>
      <w:r w:rsidR="005E5D8B">
        <w:rPr>
          <w:sz w:val="24"/>
          <w:szCs w:val="24"/>
        </w:rPr>
        <w:t xml:space="preserve">co-transformed viable Library #1 plasmids </w:t>
      </w:r>
      <w:r w:rsidR="005451B6">
        <w:rPr>
          <w:sz w:val="24"/>
          <w:szCs w:val="24"/>
        </w:rPr>
        <w:t>into cells harbouring</w:t>
      </w:r>
      <w:r w:rsidR="00D730D2">
        <w:rPr>
          <w:sz w:val="24"/>
          <w:szCs w:val="24"/>
        </w:rPr>
        <w:t xml:space="preserve"> pSB1C3 (</w:t>
      </w:r>
      <w:r w:rsidR="00331FDC">
        <w:rPr>
          <w:sz w:val="24"/>
          <w:szCs w:val="24"/>
        </w:rPr>
        <w:t xml:space="preserve">containing a </w:t>
      </w:r>
      <w:r w:rsidR="00D730D2">
        <w:rPr>
          <w:sz w:val="24"/>
          <w:szCs w:val="24"/>
        </w:rPr>
        <w:t>wild-type colE1 origin)</w:t>
      </w:r>
      <w:r w:rsidR="006065A0">
        <w:rPr>
          <w:sz w:val="24"/>
          <w:szCs w:val="24"/>
        </w:rPr>
        <w:t xml:space="preserve"> to investigate how best compatible origins could be isolated.</w:t>
      </w:r>
    </w:p>
    <w:p w14:paraId="226E0F32" w14:textId="1ED05E8F" w:rsidR="0059081C" w:rsidRDefault="00B1158C" w:rsidP="0067610B">
      <w:pPr>
        <w:spacing w:line="360" w:lineRule="auto"/>
        <w:jc w:val="both"/>
        <w:rPr>
          <w:sz w:val="24"/>
          <w:szCs w:val="24"/>
        </w:rPr>
      </w:pPr>
      <w:r>
        <w:rPr>
          <w:sz w:val="24"/>
          <w:szCs w:val="24"/>
        </w:rPr>
        <w:t xml:space="preserve">Repeated passaging of a bacterial culture in the absence of antibiotic selection is the traditional microbiological route towards </w:t>
      </w:r>
      <w:r w:rsidR="00D64FEB">
        <w:rPr>
          <w:sz w:val="24"/>
          <w:szCs w:val="24"/>
        </w:rPr>
        <w:t>quantifying plasmid stability and compatibility</w:t>
      </w:r>
      <w:r w:rsidR="00FF660B">
        <w:rPr>
          <w:sz w:val="24"/>
          <w:szCs w:val="24"/>
        </w:rPr>
        <w:t>. As a selection tool</w:t>
      </w:r>
      <w:r w:rsidR="00837639">
        <w:rPr>
          <w:sz w:val="24"/>
          <w:szCs w:val="24"/>
        </w:rPr>
        <w:t xml:space="preserve">, </w:t>
      </w:r>
      <w:r w:rsidR="005E48D9">
        <w:rPr>
          <w:sz w:val="24"/>
          <w:szCs w:val="24"/>
        </w:rPr>
        <w:t xml:space="preserve">the simple readout (bacterial growth) and the </w:t>
      </w:r>
      <w:r w:rsidR="00FF5D5C">
        <w:rPr>
          <w:sz w:val="24"/>
          <w:szCs w:val="24"/>
        </w:rPr>
        <w:t>experimental flexibility</w:t>
      </w:r>
      <w:r w:rsidR="00AD1395">
        <w:rPr>
          <w:sz w:val="24"/>
          <w:szCs w:val="24"/>
        </w:rPr>
        <w:t xml:space="preserve"> (media composition)</w:t>
      </w:r>
      <w:r w:rsidR="00AA5126">
        <w:rPr>
          <w:sz w:val="24"/>
          <w:szCs w:val="24"/>
        </w:rPr>
        <w:t xml:space="preserve"> make serial passaging a powerful strategy</w:t>
      </w:r>
      <w:r w:rsidR="00682B66">
        <w:rPr>
          <w:sz w:val="24"/>
          <w:szCs w:val="24"/>
        </w:rPr>
        <w:t xml:space="preserve"> – </w:t>
      </w:r>
      <w:r w:rsidR="00972886">
        <w:rPr>
          <w:sz w:val="24"/>
          <w:szCs w:val="24"/>
        </w:rPr>
        <w:t>capable of</w:t>
      </w:r>
      <w:r w:rsidR="00682B66">
        <w:rPr>
          <w:sz w:val="24"/>
          <w:szCs w:val="24"/>
        </w:rPr>
        <w:t xml:space="preserve"> </w:t>
      </w:r>
      <w:r w:rsidR="0059081C">
        <w:rPr>
          <w:sz w:val="24"/>
          <w:szCs w:val="24"/>
        </w:rPr>
        <w:t xml:space="preserve">modifying </w:t>
      </w:r>
      <w:r w:rsidR="00972886">
        <w:rPr>
          <w:sz w:val="24"/>
          <w:szCs w:val="24"/>
        </w:rPr>
        <w:t>even core biological processes such</w:t>
      </w:r>
      <w:r w:rsidR="0059081C">
        <w:rPr>
          <w:sz w:val="24"/>
          <w:szCs w:val="24"/>
        </w:rPr>
        <w:t xml:space="preserve"> as the genetic code</w:t>
      </w:r>
      <w:r w:rsidR="000D21CE">
        <w:rPr>
          <w:sz w:val="24"/>
          <w:szCs w:val="24"/>
        </w:rPr>
        <w:fldChar w:fldCharType="begin" w:fldLock="1"/>
      </w:r>
      <w:r w:rsidR="00855FBA">
        <w:rPr>
          <w:sz w:val="24"/>
          <w:szCs w:val="24"/>
        </w:rPr>
        <w:instrText>ADDIN CSL_CITATION {"citationItems":[{"id":"ITEM-1","itemData":{"DOI":"10.1002/anie.201502868","ISSN":"14337851","PMID":"26136259","abstract":"We have changed the amino acid set of the genetic code of Escherichia coli by evolving cultures capable of growing on the synthetic noncanonical amino acid L-β-(thieno[3,2-b]pyrrolyl)alanine ([3,2]Tpa) as a sole surrogate for the canonical amino acid L-tryptophan (Trp). A long-term cultivation experiment in defined synthetic media resulted in the evolution of cells capable of surviving Trp→[3,2]Tpa substitutions in their proteomes in response to the 20 899 TGG codons of the E. coli W3110 genome. These evolved bacteria with new-to-nature amino acid composition showed robust growth in the complete absence of Trp. Our experimental results illustrate an approach for the evolution of synthetic cells with alternative biochemical building blocks.","author":[{"dropping-particle":"","family":"Hoesl","given":"Michael Georg","non-dropping-particle":"","parse-names":false,"suffix":""},{"dropping-particle":"","family":"Oehm","given":"Stefan","non-dropping-particle":"","parse-names":false,"suffix":""},{"dropping-particle":"","family":"Durkin","given":"Patrick","non-dropping-particle":"","parse-names":false,"suffix":""},{"dropping-particle":"","family":"Darmon","given":"Elise","non-dropping-particle":"","parse-names":false,"suffix":""},{"dropping-particle":"","family":"Peil","given":"Lauri","non-dropping-particle":"","parse-names":false,"suffix":""},{"dropping-particle":"","family":"Aerni","given":"Hans-Rudolf","non-dropping-particle":"","parse-names":false,"suffix":""},{"dropping-particle":"","family":"Rappsilber","given":"Juri","non-dropping-particle":"","parse-names":false,"suffix":""},{"dropping-particle":"","family":"Rinehart","given":"Jesse","non-dropping-particle":"","parse-names":false,"suffix":""},{"dropping-particle":"","family":"Leach","given":"David","non-dropping-particle":"","parse-names":false,"suffix":""},{"dropping-particle":"","family":"Söll","given":"Dieter","non-dropping-particle":"","parse-names":false,"suffix":""},{"dropping-particle":"","family":"Budisa","given":"Nediljko","non-dropping-particle":"","parse-names":false,"suffix":""}],"container-title":"Angewandte Chemie International Edition","id":"ITEM-1","issue":"34","issued":{"date-parts":[["2015","8","17"]]},"page":"10030-10034","publisher":"Wiley-VCH Verlag","title":"Chemical Evolution of a Bacterial Proteome","type":"article-journal","volume":"54"},"uris":["http://www.mendeley.com/documents/?uuid=f69616f1-2cab-30b5-9ef7-4254ef4316e8"]}],"mendeley":{"formattedCitation":"(43)","plainTextFormattedCitation":"(43)","previouslyFormattedCitation":"[43]"},"properties":{"noteIndex":0},"schema":"https://github.com/citation-style-language/schema/raw/master/csl-citation.json"}</w:instrText>
      </w:r>
      <w:r w:rsidR="000D21CE">
        <w:rPr>
          <w:sz w:val="24"/>
          <w:szCs w:val="24"/>
        </w:rPr>
        <w:fldChar w:fldCharType="separate"/>
      </w:r>
      <w:r w:rsidR="00855FBA" w:rsidRPr="00855FBA">
        <w:rPr>
          <w:noProof/>
          <w:sz w:val="24"/>
          <w:szCs w:val="24"/>
        </w:rPr>
        <w:t>(43)</w:t>
      </w:r>
      <w:r w:rsidR="000D21CE">
        <w:rPr>
          <w:sz w:val="24"/>
          <w:szCs w:val="24"/>
        </w:rPr>
        <w:fldChar w:fldCharType="end"/>
      </w:r>
      <w:r w:rsidR="00985941">
        <w:rPr>
          <w:sz w:val="24"/>
          <w:szCs w:val="24"/>
        </w:rPr>
        <w:t>.</w:t>
      </w:r>
      <w:r w:rsidR="009B7932">
        <w:rPr>
          <w:sz w:val="24"/>
          <w:szCs w:val="24"/>
        </w:rPr>
        <w:t xml:space="preserve"> </w:t>
      </w:r>
    </w:p>
    <w:p w14:paraId="139BBBA2" w14:textId="6E0D36B0" w:rsidR="00C10F10" w:rsidRDefault="00081C66" w:rsidP="0067610B">
      <w:pPr>
        <w:spacing w:line="360" w:lineRule="auto"/>
        <w:jc w:val="both"/>
        <w:rPr>
          <w:sz w:val="24"/>
          <w:szCs w:val="24"/>
        </w:rPr>
      </w:pPr>
      <w:r>
        <w:rPr>
          <w:sz w:val="24"/>
          <w:szCs w:val="24"/>
        </w:rPr>
        <w:t>Our initial results confirmed that it could be used in plasmid compatibility selection, with</w:t>
      </w:r>
      <w:r w:rsidR="00ED1BF1">
        <w:rPr>
          <w:sz w:val="24"/>
          <w:szCs w:val="24"/>
        </w:rPr>
        <w:t xml:space="preserve"> 1% of the population </w:t>
      </w:r>
      <w:r w:rsidR="00F2796A">
        <w:rPr>
          <w:sz w:val="24"/>
          <w:szCs w:val="24"/>
        </w:rPr>
        <w:t xml:space="preserve">still </w:t>
      </w:r>
      <w:r w:rsidR="00ED1BF1">
        <w:rPr>
          <w:sz w:val="24"/>
          <w:szCs w:val="24"/>
        </w:rPr>
        <w:t>harbouring two plasmids after</w:t>
      </w:r>
      <w:r w:rsidR="003E5FD8">
        <w:rPr>
          <w:sz w:val="24"/>
          <w:szCs w:val="24"/>
        </w:rPr>
        <w:t xml:space="preserve"> </w:t>
      </w:r>
      <w:r w:rsidR="00A3511C">
        <w:rPr>
          <w:sz w:val="24"/>
          <w:szCs w:val="24"/>
        </w:rPr>
        <w:t>six</w:t>
      </w:r>
      <w:r w:rsidR="003E5FD8">
        <w:rPr>
          <w:sz w:val="24"/>
          <w:szCs w:val="24"/>
        </w:rPr>
        <w:t xml:space="preserve"> continuous days of growth</w:t>
      </w:r>
      <w:r w:rsidR="00A27337">
        <w:rPr>
          <w:sz w:val="24"/>
          <w:szCs w:val="24"/>
        </w:rPr>
        <w:t xml:space="preserve"> (data not shown).</w:t>
      </w:r>
      <w:r w:rsidR="00E54FA9">
        <w:rPr>
          <w:sz w:val="24"/>
          <w:szCs w:val="24"/>
        </w:rPr>
        <w:t xml:space="preserve"> </w:t>
      </w:r>
      <w:r w:rsidR="007C6053">
        <w:rPr>
          <w:sz w:val="24"/>
          <w:szCs w:val="24"/>
        </w:rPr>
        <w:t>To increase selection pressure</w:t>
      </w:r>
      <w:r w:rsidR="00C10F10">
        <w:rPr>
          <w:sz w:val="24"/>
          <w:szCs w:val="24"/>
        </w:rPr>
        <w:t xml:space="preserve"> (towards loss of the variants)</w:t>
      </w:r>
      <w:r w:rsidR="007C6053">
        <w:rPr>
          <w:sz w:val="24"/>
          <w:szCs w:val="24"/>
        </w:rPr>
        <w:t xml:space="preserve"> and minimise potential sources of external contamination, we repeated the serial passaging selection in the presence of chloramphenicol (thus forcing maintenance</w:t>
      </w:r>
      <w:r w:rsidR="004B799B">
        <w:rPr>
          <w:sz w:val="24"/>
          <w:szCs w:val="24"/>
        </w:rPr>
        <w:t xml:space="preserve"> of the wild-type colE1 origin in pSB1C3</w:t>
      </w:r>
      <w:r w:rsidR="007C6053">
        <w:rPr>
          <w:sz w:val="24"/>
          <w:szCs w:val="24"/>
        </w:rPr>
        <w:t>).</w:t>
      </w:r>
      <w:r w:rsidR="00015FB9">
        <w:rPr>
          <w:sz w:val="24"/>
          <w:szCs w:val="24"/>
        </w:rPr>
        <w:t xml:space="preserve"> </w:t>
      </w:r>
      <w:r w:rsidR="00604DE4">
        <w:rPr>
          <w:sz w:val="24"/>
          <w:szCs w:val="24"/>
        </w:rPr>
        <w:t xml:space="preserve"> </w:t>
      </w:r>
      <w:r w:rsidR="006D2551">
        <w:rPr>
          <w:sz w:val="24"/>
          <w:szCs w:val="24"/>
        </w:rPr>
        <w:t>After two passages (approx. 80 generations)</w:t>
      </w:r>
      <w:r w:rsidR="00DC63E5">
        <w:rPr>
          <w:sz w:val="24"/>
          <w:szCs w:val="24"/>
        </w:rPr>
        <w:t xml:space="preserve">, </w:t>
      </w:r>
      <w:r w:rsidR="005D330A">
        <w:rPr>
          <w:sz w:val="24"/>
          <w:szCs w:val="24"/>
        </w:rPr>
        <w:t>most of</w:t>
      </w:r>
      <w:r w:rsidR="00C10F10">
        <w:rPr>
          <w:sz w:val="24"/>
          <w:szCs w:val="24"/>
        </w:rPr>
        <w:t xml:space="preserve"> the cells still harboured two plasmids</w:t>
      </w:r>
      <w:r w:rsidR="005D330A">
        <w:rPr>
          <w:sz w:val="24"/>
          <w:szCs w:val="24"/>
        </w:rPr>
        <w:t xml:space="preserve"> (</w:t>
      </w:r>
      <w:r w:rsidR="005D330A" w:rsidRPr="005D330A">
        <w:rPr>
          <w:b/>
          <w:bCs/>
          <w:sz w:val="24"/>
          <w:szCs w:val="24"/>
        </w:rPr>
        <w:t xml:space="preserve">SI Fig. </w:t>
      </w:r>
      <w:r w:rsidR="00596D91">
        <w:rPr>
          <w:b/>
          <w:bCs/>
          <w:sz w:val="24"/>
          <w:szCs w:val="24"/>
        </w:rPr>
        <w:t>2</w:t>
      </w:r>
      <w:r w:rsidR="005D330A">
        <w:rPr>
          <w:sz w:val="24"/>
          <w:szCs w:val="24"/>
        </w:rPr>
        <w:t>)</w:t>
      </w:r>
      <w:r w:rsidR="00C10F10">
        <w:rPr>
          <w:sz w:val="24"/>
          <w:szCs w:val="24"/>
        </w:rPr>
        <w:t>.</w:t>
      </w:r>
    </w:p>
    <w:p w14:paraId="401E48A4" w14:textId="0F21AAE6" w:rsidR="00B70893" w:rsidRDefault="00314432" w:rsidP="0067610B">
      <w:pPr>
        <w:spacing w:line="360" w:lineRule="auto"/>
        <w:jc w:val="both"/>
        <w:rPr>
          <w:sz w:val="24"/>
          <w:szCs w:val="24"/>
        </w:rPr>
      </w:pPr>
      <w:r>
        <w:rPr>
          <w:sz w:val="24"/>
          <w:szCs w:val="24"/>
        </w:rPr>
        <w:t>Some of the colonies isolated from the selection for compatibility were sequenced</w:t>
      </w:r>
      <w:r w:rsidR="004B45C8">
        <w:rPr>
          <w:sz w:val="24"/>
          <w:szCs w:val="24"/>
        </w:rPr>
        <w:t>, with one also being identified as the most frequent compatible variant by NGS</w:t>
      </w:r>
      <w:r w:rsidR="00A46D53">
        <w:rPr>
          <w:sz w:val="24"/>
          <w:szCs w:val="24"/>
        </w:rPr>
        <w:t xml:space="preserve"> (</w:t>
      </w:r>
      <w:r w:rsidR="00A46D53" w:rsidRPr="00A46D53">
        <w:rPr>
          <w:b/>
          <w:bCs/>
          <w:sz w:val="24"/>
          <w:szCs w:val="24"/>
        </w:rPr>
        <w:t xml:space="preserve">SI Fig. </w:t>
      </w:r>
      <w:r w:rsidR="00596D91">
        <w:rPr>
          <w:b/>
          <w:bCs/>
          <w:sz w:val="24"/>
          <w:szCs w:val="24"/>
        </w:rPr>
        <w:t>3</w:t>
      </w:r>
      <w:r w:rsidR="00723F40">
        <w:rPr>
          <w:b/>
          <w:bCs/>
          <w:sz w:val="24"/>
          <w:szCs w:val="24"/>
        </w:rPr>
        <w:t xml:space="preserve"> </w:t>
      </w:r>
      <w:r w:rsidR="00723F40" w:rsidRPr="00723F40">
        <w:rPr>
          <w:sz w:val="24"/>
          <w:szCs w:val="24"/>
        </w:rPr>
        <w:t>and</w:t>
      </w:r>
      <w:r w:rsidR="00723F40">
        <w:rPr>
          <w:b/>
          <w:bCs/>
          <w:sz w:val="24"/>
          <w:szCs w:val="24"/>
        </w:rPr>
        <w:t xml:space="preserve"> SI Table </w:t>
      </w:r>
      <w:r w:rsidR="00FA24D9">
        <w:rPr>
          <w:b/>
          <w:bCs/>
          <w:sz w:val="24"/>
          <w:szCs w:val="24"/>
        </w:rPr>
        <w:t>4</w:t>
      </w:r>
      <w:r w:rsidR="00A46D53">
        <w:rPr>
          <w:sz w:val="24"/>
          <w:szCs w:val="24"/>
        </w:rPr>
        <w:t>). The variant, termed alpha (</w:t>
      </w:r>
      <w:r w:rsidR="00A46D53" w:rsidRPr="00A46D53">
        <w:rPr>
          <w:b/>
          <w:bCs/>
          <w:sz w:val="24"/>
          <w:szCs w:val="24"/>
        </w:rPr>
        <w:t>SI Fig. 1B</w:t>
      </w:r>
      <w:r w:rsidR="00A46D53">
        <w:rPr>
          <w:sz w:val="24"/>
          <w:szCs w:val="24"/>
        </w:rPr>
        <w:t xml:space="preserve">), was </w:t>
      </w:r>
      <w:r w:rsidR="00B70893">
        <w:rPr>
          <w:sz w:val="24"/>
          <w:szCs w:val="24"/>
        </w:rPr>
        <w:t>regrown under compatibility selection conditions and compared to a wild-type colE1 origin</w:t>
      </w:r>
      <w:r w:rsidR="00F059D2">
        <w:rPr>
          <w:sz w:val="24"/>
          <w:szCs w:val="24"/>
        </w:rPr>
        <w:t>.</w:t>
      </w:r>
      <w:r w:rsidR="001F02BD">
        <w:rPr>
          <w:sz w:val="24"/>
          <w:szCs w:val="24"/>
        </w:rPr>
        <w:t xml:space="preserve"> As expected, differences in compatibility </w:t>
      </w:r>
      <w:r w:rsidR="00EB3AE7">
        <w:rPr>
          <w:sz w:val="24"/>
          <w:szCs w:val="24"/>
        </w:rPr>
        <w:t xml:space="preserve">were already observable after a single day growth and the alpha origin quantitatively remained in the population throughout the </w:t>
      </w:r>
      <w:r w:rsidR="007137E6">
        <w:rPr>
          <w:sz w:val="24"/>
          <w:szCs w:val="24"/>
        </w:rPr>
        <w:t>4-day experiment (</w:t>
      </w:r>
      <w:r w:rsidR="007137E6" w:rsidRPr="005D59C8">
        <w:rPr>
          <w:b/>
          <w:bCs/>
          <w:sz w:val="24"/>
          <w:szCs w:val="24"/>
        </w:rPr>
        <w:t>Figure 2</w:t>
      </w:r>
      <w:r w:rsidR="007137E6">
        <w:rPr>
          <w:sz w:val="24"/>
          <w:szCs w:val="24"/>
        </w:rPr>
        <w:t>).</w:t>
      </w:r>
    </w:p>
    <w:p w14:paraId="32FAC70A" w14:textId="700D5CDE" w:rsidR="00102359" w:rsidRDefault="00844437" w:rsidP="0067610B">
      <w:pPr>
        <w:spacing w:line="360" w:lineRule="auto"/>
        <w:jc w:val="both"/>
        <w:rPr>
          <w:i/>
        </w:rPr>
      </w:pPr>
      <w:r w:rsidRPr="0088331E">
        <w:rPr>
          <w:b/>
          <w:bCs/>
          <w:i/>
          <w:iCs/>
          <w:noProof/>
          <w:color w:val="000000" w:themeColor="text1"/>
        </w:rPr>
        <w:lastRenderedPageBreak/>
        <w:drawing>
          <wp:anchor distT="0" distB="0" distL="114300" distR="114300" simplePos="0" relativeHeight="251659264" behindDoc="0" locked="0" layoutInCell="1" allowOverlap="1" wp14:anchorId="258A7BED" wp14:editId="4C129028">
            <wp:simplePos x="0" y="0"/>
            <wp:positionH relativeFrom="column">
              <wp:posOffset>0</wp:posOffset>
            </wp:positionH>
            <wp:positionV relativeFrom="paragraph">
              <wp:posOffset>0</wp:posOffset>
            </wp:positionV>
            <wp:extent cx="5731510" cy="3458210"/>
            <wp:effectExtent l="0" t="0" r="254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58210"/>
                    </a:xfrm>
                    <a:prstGeom prst="rect">
                      <a:avLst/>
                    </a:prstGeom>
                  </pic:spPr>
                </pic:pic>
              </a:graphicData>
            </a:graphic>
          </wp:anchor>
        </w:drawing>
      </w:r>
      <w:r w:rsidR="00510F6B" w:rsidRPr="0088331E">
        <w:rPr>
          <w:b/>
          <w:bCs/>
          <w:i/>
          <w:iCs/>
          <w:color w:val="000000" w:themeColor="text1"/>
        </w:rPr>
        <w:t xml:space="preserve">Figure </w:t>
      </w:r>
      <w:r w:rsidR="00356017" w:rsidRPr="0088331E">
        <w:rPr>
          <w:b/>
          <w:bCs/>
          <w:i/>
          <w:iCs/>
          <w:color w:val="000000" w:themeColor="text1"/>
        </w:rPr>
        <w:t>2</w:t>
      </w:r>
      <w:r w:rsidR="00510F6B" w:rsidRPr="0088331E">
        <w:rPr>
          <w:b/>
          <w:bCs/>
          <w:i/>
          <w:iCs/>
          <w:color w:val="000000" w:themeColor="text1"/>
        </w:rPr>
        <w:t xml:space="preserve">: </w:t>
      </w:r>
      <w:r w:rsidR="00342F5C">
        <w:rPr>
          <w:b/>
          <w:bCs/>
          <w:i/>
          <w:iCs/>
          <w:color w:val="000000" w:themeColor="text1"/>
        </w:rPr>
        <w:t>Microbiological plasmid compatibility assay</w:t>
      </w:r>
      <w:r w:rsidR="007571DD">
        <w:rPr>
          <w:b/>
          <w:bCs/>
          <w:i/>
          <w:iCs/>
          <w:color w:val="000000" w:themeColor="text1"/>
        </w:rPr>
        <w:t xml:space="preserve">. </w:t>
      </w:r>
      <w:r w:rsidR="007E0D8A" w:rsidRPr="007571DD">
        <w:rPr>
          <w:i/>
        </w:rPr>
        <w:t>E coli</w:t>
      </w:r>
      <w:r w:rsidR="007E0D8A" w:rsidRPr="007E0D8A">
        <w:rPr>
          <w:i/>
        </w:rPr>
        <w:t xml:space="preserve"> cells </w:t>
      </w:r>
      <w:r w:rsidR="007571DD">
        <w:rPr>
          <w:i/>
        </w:rPr>
        <w:t xml:space="preserve">harbouring two plasmids (maintained by antibiotic co-selection) </w:t>
      </w:r>
      <w:r w:rsidR="009D0333">
        <w:rPr>
          <w:i/>
        </w:rPr>
        <w:t xml:space="preserve">are </w:t>
      </w:r>
      <w:r w:rsidR="00102359">
        <w:rPr>
          <w:i/>
        </w:rPr>
        <w:t xml:space="preserve">cultured </w:t>
      </w:r>
      <w:r w:rsidR="007A1FD8">
        <w:rPr>
          <w:i/>
        </w:rPr>
        <w:t>only in the presence of kanamycin allowing the maintenance of the second plasmid (harbouring chloramphenicol resistance marker) to be tested. Aliquots from the cultures were diluted and plated in single (kanamycin) or double antibiotic plates, enabling es</w:t>
      </w:r>
      <w:r w:rsidR="00126E73">
        <w:rPr>
          <w:i/>
        </w:rPr>
        <w:t xml:space="preserve">timates of plasmid maintenance to be calculated. </w:t>
      </w:r>
      <w:r w:rsidR="009A64AF">
        <w:rPr>
          <w:i/>
        </w:rPr>
        <w:t xml:space="preserve">While the second wild-type origin is rapidly lost (top), the wild-type </w:t>
      </w:r>
      <w:r w:rsidR="00D57213">
        <w:rPr>
          <w:i/>
        </w:rPr>
        <w:t xml:space="preserve">origin </w:t>
      </w:r>
      <w:r w:rsidR="009A64AF">
        <w:rPr>
          <w:i/>
        </w:rPr>
        <w:t xml:space="preserve">co-cultured with the selected alpha origin (bottom) </w:t>
      </w:r>
      <w:r w:rsidR="00D57213">
        <w:rPr>
          <w:i/>
        </w:rPr>
        <w:t>stably remains in the culture.</w:t>
      </w:r>
    </w:p>
    <w:p w14:paraId="4BB0A3D0" w14:textId="77777777" w:rsidR="00D57213" w:rsidRDefault="00D57213" w:rsidP="0067610B">
      <w:pPr>
        <w:spacing w:line="360" w:lineRule="auto"/>
        <w:jc w:val="both"/>
        <w:rPr>
          <w:i/>
        </w:rPr>
      </w:pPr>
    </w:p>
    <w:p w14:paraId="522C7922" w14:textId="6733043E" w:rsidR="00B64055" w:rsidRDefault="00684FAE" w:rsidP="0067610B">
      <w:pPr>
        <w:spacing w:line="360" w:lineRule="auto"/>
        <w:jc w:val="both"/>
        <w:rPr>
          <w:sz w:val="24"/>
          <w:szCs w:val="24"/>
        </w:rPr>
      </w:pPr>
      <w:r>
        <w:rPr>
          <w:sz w:val="24"/>
          <w:szCs w:val="24"/>
        </w:rPr>
        <w:t xml:space="preserve">Although powerful as a selection </w:t>
      </w:r>
      <w:r w:rsidR="00053503">
        <w:rPr>
          <w:sz w:val="24"/>
          <w:szCs w:val="24"/>
        </w:rPr>
        <w:t xml:space="preserve">strategy, </w:t>
      </w:r>
      <w:r w:rsidR="00B64055">
        <w:rPr>
          <w:sz w:val="24"/>
          <w:szCs w:val="24"/>
        </w:rPr>
        <w:t>serial passaging lacks a</w:t>
      </w:r>
      <w:r w:rsidR="00AB395D">
        <w:rPr>
          <w:sz w:val="24"/>
          <w:szCs w:val="24"/>
        </w:rPr>
        <w:t xml:space="preserve">n assay to report on the selection progress, and it remains a low-throughput and labour-intensive screening tool. We therefore </w:t>
      </w:r>
      <w:r w:rsidR="00F35F7D">
        <w:rPr>
          <w:sz w:val="24"/>
          <w:szCs w:val="24"/>
        </w:rPr>
        <w:t>chose to explore possible biological circuits that could be used as reporters in selection and as high-throughput screening to assess plasmid compatibility.</w:t>
      </w:r>
    </w:p>
    <w:p w14:paraId="125D17A1" w14:textId="3E444A59" w:rsidR="00547EBA" w:rsidRPr="00C32B6C" w:rsidRDefault="006A630F" w:rsidP="0067610B">
      <w:pPr>
        <w:spacing w:line="360" w:lineRule="auto"/>
        <w:jc w:val="both"/>
        <w:rPr>
          <w:b/>
          <w:bCs/>
          <w:sz w:val="24"/>
          <w:szCs w:val="24"/>
        </w:rPr>
      </w:pPr>
      <w:r w:rsidRPr="00C32B6C">
        <w:rPr>
          <w:b/>
          <w:bCs/>
          <w:sz w:val="24"/>
          <w:szCs w:val="24"/>
        </w:rPr>
        <w:t xml:space="preserve">High-throughput </w:t>
      </w:r>
      <w:r w:rsidR="00C32B6C" w:rsidRPr="00C32B6C">
        <w:rPr>
          <w:b/>
          <w:bCs/>
          <w:sz w:val="24"/>
          <w:szCs w:val="24"/>
        </w:rPr>
        <w:t>plasmid compatibility assays</w:t>
      </w:r>
      <w:r w:rsidR="002350E6">
        <w:rPr>
          <w:b/>
          <w:bCs/>
          <w:sz w:val="24"/>
          <w:szCs w:val="24"/>
        </w:rPr>
        <w:t xml:space="preserve"> and selection</w:t>
      </w:r>
    </w:p>
    <w:p w14:paraId="340CF058" w14:textId="468CA982" w:rsidR="008E40B4" w:rsidRDefault="00FA62BF" w:rsidP="0067610B">
      <w:pPr>
        <w:spacing w:line="360" w:lineRule="auto"/>
        <w:jc w:val="both"/>
        <w:rPr>
          <w:sz w:val="24"/>
          <w:szCs w:val="24"/>
        </w:rPr>
      </w:pPr>
      <w:r>
        <w:rPr>
          <w:sz w:val="24"/>
          <w:szCs w:val="24"/>
        </w:rPr>
        <w:t>Fluorescent</w:t>
      </w:r>
      <w:r w:rsidR="005772BE">
        <w:rPr>
          <w:sz w:val="24"/>
          <w:szCs w:val="24"/>
        </w:rPr>
        <w:t xml:space="preserve"> or coloured proteins are convenient and widely used reporters in bacteria</w:t>
      </w:r>
      <w:r w:rsidR="001A00E2">
        <w:rPr>
          <w:sz w:val="24"/>
          <w:szCs w:val="24"/>
        </w:rPr>
        <w:t xml:space="preserve">, </w:t>
      </w:r>
      <w:r w:rsidR="00353A66">
        <w:rPr>
          <w:sz w:val="24"/>
          <w:szCs w:val="24"/>
        </w:rPr>
        <w:t>but their long half-lives and potential toxicity</w:t>
      </w:r>
      <w:r w:rsidR="00353A66">
        <w:rPr>
          <w:sz w:val="24"/>
          <w:szCs w:val="24"/>
        </w:rPr>
        <w:fldChar w:fldCharType="begin" w:fldLock="1"/>
      </w:r>
      <w:r w:rsidR="00855FBA">
        <w:rPr>
          <w:sz w:val="24"/>
          <w:szCs w:val="24"/>
        </w:rPr>
        <w:instrText>ADDIN CSL_CITATION {"citationItems":[{"id":"ITEM-1","itemData":{"DOI":"10.1016/j.ab.2020.113936","ISSN":"00032697","abstract":"Chromoproteins (CPs) are widely-used visual reporters of gene expression. We previously showed that, for coloration in Escherichia coli, CPs had to be overexpressed and that this caused large fitness costs with the most useful (darkly colored) CPs. These fitness costs were problematic because passage of plasmids encoding darkly colored CPs in liquid culture frequently resulted in loss of color due to mutations. Unexpectedly, an early variant of the monomeric red fluorescent protein 1 (mRFP1) gene that was codon-optimized for E. coli (abbreviated mRFP1E) was found here to be an ideal replacement for CP genes. When we subcloned mRFP1E in the same way as our CP genes, it produced a similarly dark color, yet affected E. coli fitness minimally. This finding facilitated testing of several hypotheses on the cause of CP cytotoxicities by gel electrophoresis and size-exclusion chromatography: toxicities correlated with the combination of amounts of expression, oligomerization and inclusion bodies, not isoelectric point. Finally, a semi-rational mutagenesis strategy created several mRFP1 protein variants with different colors without altering the fitness cost. Thus, these mutants and mRFP1E are suitable for comparative fitness costs between different strains of E. coli. We conclude that our new mRFP1E series overcomes prior limitations of CPs.","author":[{"dropping-particle":"","family":"Bao","given":"Letian","non-dropping-particle":"","parse-names":false,"suffix":""},{"dropping-particle":"","family":"Menon","given":"P. Navaneeth K.","non-dropping-particle":"","parse-names":false,"suffix":""},{"dropping-particle":"","family":"Liljeruhm","given":"Josefine","non-dropping-particle":"","parse-names":false,"suffix":""},{"dropping-particle":"","family":"Forster","given":"Anthony C","non-dropping-particle":"","parse-names":false,"suffix":""}],"container-title":"Analytical Biochemistry","id":"ITEM-1","issued":{"date-parts":[["2020","12"]]},"page":"113936","title":"Overcoming chromoprotein limitations by engineering a red fluorescent protein","type":"article-journal","volume":"611"},"uris":["http://www.mendeley.com/documents/?uuid=c4cc9140-584c-321b-bdfa-af88e5b8beac"]},{"id":"ITEM-2","itemData":{"DOI":"10.1038/nmeth819","ISSN":"1548-7091","PMID":"16299475","abstract":"The recent explosion in the diversity of available fluorescent proteins (FPs) promises a wide variety of new tools for biological imaging. With no unified standard for assessing these tools, however, a researcher is faced with difficult questions. Which FPs are best for general use? Which are the brightest? What additional factors determine which are best for a given experiment? Although in many cases, a trial-and-error approach may still be necessary in determining the answers to these questions, a unified characterization of the best available FPs provides a useful guide in narrowing down the options. © 2005 Nature Publishing Group.","author":[{"dropping-particle":"","family":"Shaner","given":"Nathan C.","non-dropping-particle":"","parse-names":false,"suffix":""},{"dropping-particle":"","family":"Steinbach","given":"Paul A.","non-dropping-particle":"","parse-names":false,"suffix":""},{"dropping-particle":"","family":"Tsien","given":"Roger Y.","non-dropping-particle":"","parse-names":false,"suffix":""}],"container-title":"Nature Methods","id":"ITEM-2","issue":"12","issued":{"date-parts":[["2005","12","18"]]},"page":"905-909","publisher":"Nature Publishing Group","title":"A guide to choosing fluorescent proteins","type":"article-journal","volume":"2"},"uris":["http://www.mendeley.com/documents/?uuid=69d88668-ff9f-304d-aa18-e855cf455d07"]}],"mendeley":{"formattedCitation":"(44, 45)","plainTextFormattedCitation":"(44, 45)","previouslyFormattedCitation":"[44,45]"},"properties":{"noteIndex":0},"schema":"https://github.com/citation-style-language/schema/raw/master/csl-citation.json"}</w:instrText>
      </w:r>
      <w:r w:rsidR="00353A66">
        <w:rPr>
          <w:sz w:val="24"/>
          <w:szCs w:val="24"/>
        </w:rPr>
        <w:fldChar w:fldCharType="separate"/>
      </w:r>
      <w:r w:rsidR="00855FBA" w:rsidRPr="00855FBA">
        <w:rPr>
          <w:noProof/>
          <w:sz w:val="24"/>
          <w:szCs w:val="24"/>
        </w:rPr>
        <w:t>(44, 45)</w:t>
      </w:r>
      <w:r w:rsidR="00353A66">
        <w:rPr>
          <w:sz w:val="24"/>
          <w:szCs w:val="24"/>
        </w:rPr>
        <w:fldChar w:fldCharType="end"/>
      </w:r>
      <w:r w:rsidR="004708FB">
        <w:rPr>
          <w:sz w:val="24"/>
          <w:szCs w:val="24"/>
        </w:rPr>
        <w:t xml:space="preserve"> </w:t>
      </w:r>
      <w:r w:rsidR="00114B5E">
        <w:rPr>
          <w:sz w:val="24"/>
          <w:szCs w:val="24"/>
        </w:rPr>
        <w:t xml:space="preserve">can limit their usefulness in </w:t>
      </w:r>
      <w:r w:rsidR="00C07C2C">
        <w:rPr>
          <w:sz w:val="24"/>
          <w:szCs w:val="24"/>
        </w:rPr>
        <w:t xml:space="preserve">dynamic processes and also lead to an increased metabolic burden on the cells – in this case potentially exacerbating </w:t>
      </w:r>
      <w:r w:rsidR="00073AA0">
        <w:rPr>
          <w:sz w:val="24"/>
          <w:szCs w:val="24"/>
        </w:rPr>
        <w:t xml:space="preserve">the </w:t>
      </w:r>
      <w:r w:rsidR="00382A68">
        <w:rPr>
          <w:sz w:val="24"/>
          <w:szCs w:val="24"/>
        </w:rPr>
        <w:t xml:space="preserve">stress </w:t>
      </w:r>
      <w:r w:rsidR="00073AA0">
        <w:rPr>
          <w:sz w:val="24"/>
          <w:szCs w:val="24"/>
        </w:rPr>
        <w:t xml:space="preserve">cells may already be under from harbouring multiple </w:t>
      </w:r>
      <w:r w:rsidR="00382A68">
        <w:rPr>
          <w:sz w:val="24"/>
          <w:szCs w:val="24"/>
        </w:rPr>
        <w:t xml:space="preserve">colE1 </w:t>
      </w:r>
      <w:r w:rsidR="00073AA0">
        <w:rPr>
          <w:sz w:val="24"/>
          <w:szCs w:val="24"/>
        </w:rPr>
        <w:t>high copy number plasmids.</w:t>
      </w:r>
      <w:r w:rsidR="00382A68">
        <w:rPr>
          <w:sz w:val="24"/>
          <w:szCs w:val="24"/>
        </w:rPr>
        <w:t xml:space="preserve"> In addition, m</w:t>
      </w:r>
      <w:r w:rsidR="005A20CF">
        <w:rPr>
          <w:sz w:val="24"/>
          <w:szCs w:val="24"/>
        </w:rPr>
        <w:t xml:space="preserve">etabolic burden and protein expression </w:t>
      </w:r>
      <w:r w:rsidR="00F7553F">
        <w:rPr>
          <w:sz w:val="24"/>
          <w:szCs w:val="24"/>
        </w:rPr>
        <w:t xml:space="preserve">are both known </w:t>
      </w:r>
      <w:r w:rsidR="00F7553F">
        <w:rPr>
          <w:sz w:val="24"/>
          <w:szCs w:val="24"/>
        </w:rPr>
        <w:lastRenderedPageBreak/>
        <w:t>factors in colE1 plasmid copy number variability</w:t>
      </w:r>
      <w:r w:rsidR="00B57563">
        <w:rPr>
          <w:sz w:val="24"/>
          <w:szCs w:val="24"/>
        </w:rPr>
        <w:fldChar w:fldCharType="begin" w:fldLock="1"/>
      </w:r>
      <w:r w:rsidR="00855FBA">
        <w:rPr>
          <w:sz w:val="24"/>
          <w:szCs w:val="24"/>
        </w:rPr>
        <w:instrText>ADDIN CSL_CITATION {"citationItems":[{"id":"ITEM-1","itemData":{"DOI":"10.1186/s12934-016-0610-8","ISSN":"1475-2859","PMID":"27993152","abstract":"Background: Plasmids are widely used for molecular cloning or production of proteins in laboratory and industrial settings. Constant modification has brought forth countless plasmid vectors whose characteristics in terms of average plasmid copy number (PCN) and stability are rarely known. The crucial factor determining the PCN is the replication system; most replication systems in use today belong to a small number of different classes and are available through repositories like the Standard European Vector Architecture (SEVA). Results: In this study, the PCN was determined in a set of seven SEVA-based expression plasmids only differing in the replication system. The average PCN for all constructs was determined by Droplet Digital PCR and ranged between 2 and 40 per chromosome in the host organism Escherichia coli. Furthermore, a plasmid-encoded EGFP reporter protein served as a means to assess variability in reporter gene expression on the single cell level. Only cells with one type of plasmid (RSF1010 replication system) showed a high degree of heterogeneity with a clear bimodal distribution of EGFP intensity while the others showed a normal distribution. The heterogeneous RSF1010-carrying cell population and one normally distributed population (ColE1 replication system) were further analyzed by sorting cells of sub-populations selected according to EGFP intensity. For both plasmids, low and highly fluorescent sub-populations showed a remarkable difference in PCN, ranging from 9.2 to 123.4 for ColE1 and from 0.5 to 11.8 for RSF1010, respectively. Conclusions: The average PCN determined here for a set of standardized plasmids was generally at the lower end of previously reported ranges and not related to the degree of heterogeneity. Further characterization of a heterogeneous and a homogeneous population demonstrated considerable differences in the PCN of sub-populations. We therefore present direct molecular evidence that the average PCN does not represent the true number of plasmid molecules in individual cells.","author":[{"dropping-particle":"","family":"Jahn","given":"Michael","non-dropping-particle":"","parse-names":false,"suffix":""},{"dropping-particle":"","family":"Vorpahl","given":"Carsten","non-dropping-particle":"","parse-names":false,"suffix":""},{"dropping-particle":"","family":"Hübschmann","given":"Thomas","non-dropping-particle":"","parse-names":false,"suffix":""},{"dropping-particle":"","family":"Harms","given":"Hauke","non-dropping-particle":"","parse-names":false,"suffix":""},{"dropping-particle":"","family":"Müller","given":"Susann","non-dropping-particle":"","parse-names":false,"suffix":""}],"container-title":"Microbial Cell Factories","id":"ITEM-1","issue":"1","issued":{"date-parts":[["2016","12","19"]]},"page":"211","publisher":"BioMed Central Ltd.","title":"Copy number variability of expression plasmids determined by cell sorting and Droplet Digital PCR","type":"article-journal","volume":"15"},"uris":["http://www.mendeley.com/documents/?uuid=dddfc1b3-8fc7-3cb6-957a-a0bab105069f"]},{"id":"ITEM-2","itemData":{"DOI":"10.1002/bit.10104","ISSN":"0006-3592","PMID":"11753920","abstract":"The key objective for recombinant protein production in bacteria is the maximum exploitation of the cell factory's potential, whereby often strong expression vectors are used to increase product yield. If the metabolic load caused by recombinant expression exceeds the host's capacity, the system exhausts itself, resulting in a loss of protein yield. Excessive plasmid replication is observed after inducing recombinant gene expression, which greatly contributes to metabolic overload of the host cell. The transcriptional and translational machineries are extremely overstrained. By abolishing sequence homology between ColE1 RNA I/RNA II and tRNAs, we were able to restore the plasmid's replication control mechanisms and to keep the plasmid copy number constant throughout the culture process, thereby prolonging metabolic activity and productivity of the bacterial expression system. Because the bacterial host cell is not being exploited beyond its tolerable potential with this method, the constancy of the plasmid copy number level throughout the whole period of the bioprocess provides novel strategies for bioprocess optimization. © 2002 John Wiley &amp; Sons, Inc.","author":[{"dropping-particle":"","family":"Grabherr","given":"Reingard","non-dropping-particle":"","parse-names":false,"suffix":""},{"dropping-particle":"","family":"Nilsson","given":"Erik","non-dropping-particle":"","parse-names":false,"suffix":""},{"dropping-particle":"","family":"Striedner","given":"Gerald","non-dropping-particle":"","parse-names":false,"suffix":""},{"dropping-particle":"","family":"Bayer","given":"Karl","non-dropping-particle":"","parse-names":false,"suffix":""}],"container-title":"Biotechnology and Bioengineering","id":"ITEM-2","issue":"2","issued":{"date-parts":[["2002","1","20"]]},"page":"142-147","title":"Stabilizing plasmid copy number to improve recombinant protein production","type":"article-journal","volume":"77"},"uris":["http://www.mendeley.com/documents/?uuid=ab022298-205b-33e5-8f69-7652925bb58f"]}],"mendeley":{"formattedCitation":"(46, 47)","plainTextFormattedCitation":"(46, 47)","previouslyFormattedCitation":"[46,47]"},"properties":{"noteIndex":0},"schema":"https://github.com/citation-style-language/schema/raw/master/csl-citation.json"}</w:instrText>
      </w:r>
      <w:r w:rsidR="00B57563">
        <w:rPr>
          <w:sz w:val="24"/>
          <w:szCs w:val="24"/>
        </w:rPr>
        <w:fldChar w:fldCharType="separate"/>
      </w:r>
      <w:r w:rsidR="00855FBA" w:rsidRPr="00855FBA">
        <w:rPr>
          <w:noProof/>
          <w:sz w:val="24"/>
          <w:szCs w:val="24"/>
        </w:rPr>
        <w:t>(46, 47)</w:t>
      </w:r>
      <w:r w:rsidR="00B57563">
        <w:rPr>
          <w:sz w:val="24"/>
          <w:szCs w:val="24"/>
        </w:rPr>
        <w:fldChar w:fldCharType="end"/>
      </w:r>
      <w:r w:rsidR="00B57563">
        <w:rPr>
          <w:sz w:val="24"/>
          <w:szCs w:val="24"/>
        </w:rPr>
        <w:t xml:space="preserve">. </w:t>
      </w:r>
      <w:r w:rsidR="008E40B4">
        <w:rPr>
          <w:sz w:val="24"/>
          <w:szCs w:val="24"/>
        </w:rPr>
        <w:t xml:space="preserve">Therefore, we opted for the biological circuit shown in </w:t>
      </w:r>
      <w:r w:rsidR="008E40B4" w:rsidRPr="008E40B4">
        <w:rPr>
          <w:b/>
          <w:bCs/>
          <w:sz w:val="24"/>
          <w:szCs w:val="24"/>
        </w:rPr>
        <w:t>Figure 3</w:t>
      </w:r>
      <w:r w:rsidR="008E40B4">
        <w:rPr>
          <w:sz w:val="24"/>
          <w:szCs w:val="24"/>
        </w:rPr>
        <w:t>, in which a TetR-based negative feedback loop</w:t>
      </w:r>
      <w:r w:rsidR="00DD19EE">
        <w:rPr>
          <w:sz w:val="24"/>
          <w:szCs w:val="24"/>
        </w:rPr>
        <w:t xml:space="preserve"> minimises</w:t>
      </w:r>
      <w:r w:rsidR="00C10109">
        <w:rPr>
          <w:sz w:val="24"/>
          <w:szCs w:val="24"/>
        </w:rPr>
        <w:t xml:space="preserve"> any potential</w:t>
      </w:r>
      <w:r w:rsidR="00DD19EE">
        <w:rPr>
          <w:sz w:val="24"/>
          <w:szCs w:val="24"/>
        </w:rPr>
        <w:t xml:space="preserve"> metabolic burden</w:t>
      </w:r>
      <w:r w:rsidR="001A17CD">
        <w:rPr>
          <w:sz w:val="24"/>
          <w:szCs w:val="24"/>
        </w:rPr>
        <w:t xml:space="preserve"> from reporter expression</w:t>
      </w:r>
      <w:r w:rsidR="00DD19EE">
        <w:rPr>
          <w:sz w:val="24"/>
          <w:szCs w:val="24"/>
        </w:rPr>
        <w:t xml:space="preserve">. </w:t>
      </w:r>
    </w:p>
    <w:p w14:paraId="4DAB7FAC" w14:textId="1128FC70" w:rsidR="00356017" w:rsidRDefault="00844437" w:rsidP="00BF2BBF">
      <w:pPr>
        <w:jc w:val="both"/>
        <w:rPr>
          <w:b/>
          <w:i/>
          <w:iCs/>
        </w:rPr>
      </w:pPr>
      <w:r w:rsidRPr="00E07CF5">
        <w:rPr>
          <w:b/>
          <w:bCs/>
          <w:i/>
          <w:iCs/>
          <w:noProof/>
          <w:color w:val="000000" w:themeColor="text1"/>
        </w:rPr>
        <w:drawing>
          <wp:anchor distT="0" distB="0" distL="114300" distR="114300" simplePos="0" relativeHeight="251660288" behindDoc="0" locked="0" layoutInCell="1" allowOverlap="1" wp14:anchorId="3A4B2C5B" wp14:editId="6A9E65A8">
            <wp:simplePos x="0" y="0"/>
            <wp:positionH relativeFrom="column">
              <wp:posOffset>0</wp:posOffset>
            </wp:positionH>
            <wp:positionV relativeFrom="paragraph">
              <wp:posOffset>0</wp:posOffset>
            </wp:positionV>
            <wp:extent cx="5731510" cy="4928235"/>
            <wp:effectExtent l="0" t="0" r="2540" b="0"/>
            <wp:wrapTopAndBottom/>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928235"/>
                    </a:xfrm>
                    <a:prstGeom prst="rect">
                      <a:avLst/>
                    </a:prstGeom>
                  </pic:spPr>
                </pic:pic>
              </a:graphicData>
            </a:graphic>
          </wp:anchor>
        </w:drawing>
      </w:r>
      <w:r w:rsidR="00356017" w:rsidRPr="00E07CF5">
        <w:rPr>
          <w:b/>
          <w:bCs/>
          <w:i/>
          <w:iCs/>
          <w:color w:val="000000" w:themeColor="text1"/>
        </w:rPr>
        <w:t xml:space="preserve">Figure 3: </w:t>
      </w:r>
      <w:r w:rsidR="00E07CF5" w:rsidRPr="00E07CF5">
        <w:rPr>
          <w:b/>
          <w:bCs/>
          <w:i/>
          <w:iCs/>
          <w:color w:val="000000" w:themeColor="text1"/>
        </w:rPr>
        <w:t>High-throughput screening of plasmid origin of replication compatibility</w:t>
      </w:r>
      <w:r w:rsidR="00E07CF5" w:rsidRPr="00C86F99">
        <w:rPr>
          <w:b/>
          <w:bCs/>
          <w:i/>
          <w:iCs/>
          <w:color w:val="000000" w:themeColor="text1"/>
        </w:rPr>
        <w:t xml:space="preserve">. </w:t>
      </w:r>
      <w:r w:rsidR="00E07CF5" w:rsidRPr="00C86F99">
        <w:rPr>
          <w:b/>
          <w:i/>
          <w:iCs/>
        </w:rPr>
        <w:t>A.</w:t>
      </w:r>
      <w:r w:rsidR="00E07CF5" w:rsidRPr="00C86F99">
        <w:rPr>
          <w:bCs/>
          <w:i/>
          <w:iCs/>
        </w:rPr>
        <w:t xml:space="preserve"> </w:t>
      </w:r>
      <w:r w:rsidR="00C86F99">
        <w:rPr>
          <w:bCs/>
          <w:i/>
          <w:iCs/>
        </w:rPr>
        <w:t xml:space="preserve">The </w:t>
      </w:r>
      <w:r w:rsidR="00891C6A">
        <w:rPr>
          <w:bCs/>
          <w:i/>
          <w:iCs/>
        </w:rPr>
        <w:t>2-plasmid circuit used for the selection and screening of plasmid origin compatibility. GFP expression in the reporter plasmid</w:t>
      </w:r>
      <w:r w:rsidR="007A1420">
        <w:rPr>
          <w:bCs/>
          <w:i/>
          <w:iCs/>
        </w:rPr>
        <w:t xml:space="preserve"> (</w:t>
      </w:r>
      <w:r w:rsidR="00592C95">
        <w:rPr>
          <w:bCs/>
          <w:i/>
          <w:iCs/>
        </w:rPr>
        <w:t>harbouring a colE1 origin – black)</w:t>
      </w:r>
      <w:r w:rsidR="00891C6A">
        <w:rPr>
          <w:bCs/>
          <w:i/>
          <w:iCs/>
        </w:rPr>
        <w:t xml:space="preserve"> is inhibited by TetR being expressed from the regulatory plasmid</w:t>
      </w:r>
      <w:r w:rsidR="00592C95">
        <w:rPr>
          <w:bCs/>
          <w:i/>
          <w:iCs/>
        </w:rPr>
        <w:t xml:space="preserve"> (harbouring the tested origin – red)</w:t>
      </w:r>
      <w:r w:rsidR="00D70B64">
        <w:rPr>
          <w:bCs/>
          <w:i/>
          <w:iCs/>
        </w:rPr>
        <w:t xml:space="preserve">. A negative feedback </w:t>
      </w:r>
      <w:r w:rsidR="00830060">
        <w:rPr>
          <w:bCs/>
          <w:i/>
          <w:iCs/>
        </w:rPr>
        <w:t>circuit</w:t>
      </w:r>
      <w:r w:rsidR="00CF69A4">
        <w:rPr>
          <w:bCs/>
          <w:i/>
          <w:iCs/>
        </w:rPr>
        <w:t xml:space="preserve"> (TetR expression under regulation from its own promoter)</w:t>
      </w:r>
      <w:r w:rsidR="00830060">
        <w:rPr>
          <w:bCs/>
          <w:i/>
          <w:iCs/>
        </w:rPr>
        <w:t xml:space="preserve"> was introduced to minimise metabolic burden. Loss of regulatory plasmid </w:t>
      </w:r>
      <w:r w:rsidR="00511921">
        <w:rPr>
          <w:bCs/>
          <w:i/>
          <w:iCs/>
        </w:rPr>
        <w:t>deregulates the P</w:t>
      </w:r>
      <w:r w:rsidR="00511921">
        <w:rPr>
          <w:bCs/>
          <w:i/>
          <w:iCs/>
          <w:vertAlign w:val="subscript"/>
        </w:rPr>
        <w:t>tetA</w:t>
      </w:r>
      <w:r w:rsidR="00511921">
        <w:rPr>
          <w:bCs/>
          <w:i/>
          <w:iCs/>
        </w:rPr>
        <w:t xml:space="preserve"> promoter leading to</w:t>
      </w:r>
      <w:r w:rsidR="007F158C">
        <w:rPr>
          <w:bCs/>
          <w:i/>
          <w:iCs/>
        </w:rPr>
        <w:t xml:space="preserve"> rapid GFP expression. </w:t>
      </w:r>
      <w:r w:rsidR="007F158C">
        <w:rPr>
          <w:b/>
          <w:i/>
          <w:iCs/>
        </w:rPr>
        <w:t>B.</w:t>
      </w:r>
      <w:r w:rsidR="007F158C">
        <w:rPr>
          <w:bCs/>
          <w:i/>
          <w:iCs/>
        </w:rPr>
        <w:t xml:space="preserve"> The circuit was validated </w:t>
      </w:r>
      <w:r w:rsidR="00045E9E">
        <w:rPr>
          <w:bCs/>
          <w:i/>
          <w:iCs/>
        </w:rPr>
        <w:t>by analysing E. coli fluorescence in culture using</w:t>
      </w:r>
      <w:r w:rsidR="00E471CF">
        <w:rPr>
          <w:bCs/>
          <w:i/>
          <w:iCs/>
        </w:rPr>
        <w:t xml:space="preserve"> cells</w:t>
      </w:r>
      <w:r w:rsidR="00045E9E">
        <w:rPr>
          <w:bCs/>
          <w:i/>
          <w:iCs/>
        </w:rPr>
        <w:t xml:space="preserve"> </w:t>
      </w:r>
      <w:r w:rsidR="00E471CF">
        <w:rPr>
          <w:bCs/>
          <w:i/>
          <w:iCs/>
        </w:rPr>
        <w:t>t</w:t>
      </w:r>
      <w:r w:rsidR="00045E9E">
        <w:rPr>
          <w:bCs/>
          <w:i/>
          <w:iCs/>
        </w:rPr>
        <w:t xml:space="preserve">ransformed </w:t>
      </w:r>
      <w:r w:rsidR="00E471CF">
        <w:rPr>
          <w:bCs/>
          <w:i/>
          <w:iCs/>
        </w:rPr>
        <w:t xml:space="preserve">with one or two plasmids </w:t>
      </w:r>
      <w:r w:rsidR="00045E9E">
        <w:rPr>
          <w:bCs/>
          <w:i/>
          <w:iCs/>
        </w:rPr>
        <w:t>after overnight growth in liquid culture</w:t>
      </w:r>
      <w:r w:rsidR="001F300F">
        <w:rPr>
          <w:bCs/>
          <w:i/>
          <w:iCs/>
        </w:rPr>
        <w:t xml:space="preserve"> supplemented with chloramphenicol (Cm), kanamycin (Kan) or no antibiotics.</w:t>
      </w:r>
      <w:r w:rsidR="00E471CF">
        <w:rPr>
          <w:bCs/>
          <w:i/>
          <w:iCs/>
        </w:rPr>
        <w:t xml:space="preserve"> </w:t>
      </w:r>
      <w:r w:rsidR="00ED6A98">
        <w:rPr>
          <w:bCs/>
          <w:i/>
          <w:iCs/>
        </w:rPr>
        <w:t xml:space="preserve">The compatible p15A origin from pBAD30 was used as control for a </w:t>
      </w:r>
      <w:r w:rsidR="007C396A">
        <w:rPr>
          <w:bCs/>
          <w:i/>
          <w:iCs/>
        </w:rPr>
        <w:t>compatible</w:t>
      </w:r>
      <w:r w:rsidR="00ED6A98">
        <w:rPr>
          <w:bCs/>
          <w:i/>
          <w:iCs/>
        </w:rPr>
        <w:t xml:space="preserve"> </w:t>
      </w:r>
      <w:r w:rsidR="007C396A">
        <w:rPr>
          <w:bCs/>
          <w:i/>
          <w:iCs/>
        </w:rPr>
        <w:t>origin</w:t>
      </w:r>
      <w:r w:rsidR="007C396A" w:rsidRPr="00F729CA">
        <w:rPr>
          <w:bCs/>
          <w:i/>
          <w:iCs/>
        </w:rPr>
        <w:t>.</w:t>
      </w:r>
      <w:r w:rsidR="00F729CA" w:rsidRPr="00F729CA">
        <w:rPr>
          <w:bCs/>
          <w:i/>
          <w:iCs/>
        </w:rPr>
        <w:t xml:space="preserve"> </w:t>
      </w:r>
      <w:r w:rsidR="00E07CF5" w:rsidRPr="00F729CA">
        <w:rPr>
          <w:b/>
          <w:i/>
          <w:iCs/>
        </w:rPr>
        <w:t>C.</w:t>
      </w:r>
      <w:r w:rsidR="00E07CF5" w:rsidRPr="00EE6AA9">
        <w:rPr>
          <w:bCs/>
          <w:i/>
          <w:iCs/>
        </w:rPr>
        <w:t xml:space="preserve"> </w:t>
      </w:r>
      <w:r w:rsidR="00EE6AA9" w:rsidRPr="00EE6AA9">
        <w:rPr>
          <w:bCs/>
          <w:i/>
          <w:iCs/>
        </w:rPr>
        <w:t>Heatm</w:t>
      </w:r>
      <w:r w:rsidR="00EE6AA9">
        <w:rPr>
          <w:bCs/>
          <w:i/>
          <w:iCs/>
        </w:rPr>
        <w:t xml:space="preserve">ap of overnight selection for compatible origins. </w:t>
      </w:r>
      <w:r w:rsidR="00EA7534">
        <w:rPr>
          <w:bCs/>
          <w:i/>
          <w:iCs/>
        </w:rPr>
        <w:t>Ninety-six colonies harbouring</w:t>
      </w:r>
      <w:r w:rsidR="00592C95">
        <w:rPr>
          <w:bCs/>
          <w:i/>
          <w:iCs/>
        </w:rPr>
        <w:t xml:space="preserve"> both reporter (colE1 origin) and regulatory (</w:t>
      </w:r>
      <w:r w:rsidR="00F5567C">
        <w:rPr>
          <w:bCs/>
          <w:i/>
          <w:iCs/>
        </w:rPr>
        <w:t>origin from functional selection)</w:t>
      </w:r>
      <w:r w:rsidR="00592C95">
        <w:rPr>
          <w:bCs/>
          <w:i/>
          <w:iCs/>
        </w:rPr>
        <w:t xml:space="preserve"> plasmids</w:t>
      </w:r>
      <w:r w:rsidR="00F5567C">
        <w:rPr>
          <w:bCs/>
          <w:i/>
          <w:iCs/>
        </w:rPr>
        <w:t xml:space="preserve"> were grown in the presence of kanamycin</w:t>
      </w:r>
      <w:r w:rsidR="00BF2BBF">
        <w:rPr>
          <w:bCs/>
          <w:i/>
          <w:iCs/>
        </w:rPr>
        <w:t>. Lowest fluorescence cultures were selected for further analysis.</w:t>
      </w:r>
    </w:p>
    <w:p w14:paraId="6C69174C" w14:textId="77777777" w:rsidR="00BF2BBF" w:rsidRPr="00BF2BBF" w:rsidRDefault="00BF2BBF" w:rsidP="00BF2BBF">
      <w:pPr>
        <w:jc w:val="both"/>
        <w:rPr>
          <w:b/>
          <w:i/>
          <w:iCs/>
        </w:rPr>
      </w:pPr>
    </w:p>
    <w:p w14:paraId="346EFC2D" w14:textId="0D37DB9B" w:rsidR="00847107" w:rsidRDefault="00847107" w:rsidP="0067610B">
      <w:pPr>
        <w:spacing w:line="360" w:lineRule="auto"/>
        <w:jc w:val="both"/>
        <w:rPr>
          <w:sz w:val="24"/>
          <w:szCs w:val="24"/>
        </w:rPr>
      </w:pPr>
      <w:r>
        <w:rPr>
          <w:sz w:val="24"/>
          <w:szCs w:val="24"/>
        </w:rPr>
        <w:lastRenderedPageBreak/>
        <w:t xml:space="preserve">By maintaining </w:t>
      </w:r>
      <w:r w:rsidR="005B091E">
        <w:rPr>
          <w:sz w:val="24"/>
          <w:szCs w:val="24"/>
        </w:rPr>
        <w:t xml:space="preserve">selection </w:t>
      </w:r>
      <w:r>
        <w:rPr>
          <w:sz w:val="24"/>
          <w:szCs w:val="24"/>
        </w:rPr>
        <w:t xml:space="preserve">pressure on the reporter plasmid (i.e. the GFP coding plasmid), only the regulatory plasmid can be lost and GFP expression becomes a robust and easily quantifiable reporter for </w:t>
      </w:r>
      <w:r w:rsidR="00822658">
        <w:rPr>
          <w:sz w:val="24"/>
          <w:szCs w:val="24"/>
        </w:rPr>
        <w:t xml:space="preserve">regulatory </w:t>
      </w:r>
      <w:r>
        <w:rPr>
          <w:sz w:val="24"/>
          <w:szCs w:val="24"/>
        </w:rPr>
        <w:t>plasmid loss</w:t>
      </w:r>
      <w:r w:rsidR="00A70326">
        <w:rPr>
          <w:sz w:val="24"/>
          <w:szCs w:val="24"/>
        </w:rPr>
        <w:t>: accessible to both population- (spectrophotometer) and cell-based (flow cytometer) assays; and readily scalable for small volume cultures.</w:t>
      </w:r>
    </w:p>
    <w:p w14:paraId="61F483F0" w14:textId="1F0B4A40" w:rsidR="00BB4065" w:rsidRDefault="007A6AC1">
      <w:pPr>
        <w:spacing w:line="360" w:lineRule="auto"/>
        <w:jc w:val="both"/>
        <w:rPr>
          <w:sz w:val="24"/>
          <w:szCs w:val="24"/>
        </w:rPr>
      </w:pPr>
      <w:r>
        <w:rPr>
          <w:sz w:val="24"/>
          <w:szCs w:val="24"/>
        </w:rPr>
        <w:t>Small scale cultures in 96-well plates were used to validate the assay and to assess</w:t>
      </w:r>
      <w:r w:rsidR="007B561F">
        <w:rPr>
          <w:sz w:val="24"/>
          <w:szCs w:val="24"/>
        </w:rPr>
        <w:t xml:space="preserve"> whether it could also be used as a selection tool. </w:t>
      </w:r>
      <w:r w:rsidR="00BB4065">
        <w:rPr>
          <w:sz w:val="24"/>
          <w:szCs w:val="24"/>
        </w:rPr>
        <w:t>Overnight growth in the 96-well format (while maintaining selection for the wild-type colE1) was sufficient</w:t>
      </w:r>
      <w:r w:rsidR="0061229A">
        <w:rPr>
          <w:sz w:val="24"/>
          <w:szCs w:val="24"/>
        </w:rPr>
        <w:t xml:space="preserve"> </w:t>
      </w:r>
      <w:r w:rsidR="00B46A98">
        <w:rPr>
          <w:sz w:val="24"/>
          <w:szCs w:val="24"/>
        </w:rPr>
        <w:t>to identify incompatible origins (</w:t>
      </w:r>
      <w:r w:rsidR="00B46A98" w:rsidRPr="00B46A98">
        <w:rPr>
          <w:b/>
          <w:bCs/>
          <w:sz w:val="24"/>
          <w:szCs w:val="24"/>
        </w:rPr>
        <w:t>Figure 3</w:t>
      </w:r>
      <w:r w:rsidR="00B46A98">
        <w:rPr>
          <w:sz w:val="24"/>
          <w:szCs w:val="24"/>
        </w:rPr>
        <w:t>) and the platform remained compatible with serial passaging</w:t>
      </w:r>
      <w:r w:rsidR="00D87D2A">
        <w:rPr>
          <w:sz w:val="24"/>
          <w:szCs w:val="24"/>
        </w:rPr>
        <w:t>, allowing longer selections (data not shown).</w:t>
      </w:r>
    </w:p>
    <w:p w14:paraId="46AE53BA" w14:textId="3CA92231" w:rsidR="00B96E75" w:rsidRDefault="00D87D2A">
      <w:pPr>
        <w:spacing w:line="360" w:lineRule="auto"/>
        <w:jc w:val="both"/>
        <w:rPr>
          <w:sz w:val="24"/>
          <w:szCs w:val="24"/>
        </w:rPr>
      </w:pPr>
      <w:r>
        <w:rPr>
          <w:sz w:val="24"/>
          <w:szCs w:val="24"/>
        </w:rPr>
        <w:t xml:space="preserve">We therefore proceeded </w:t>
      </w:r>
      <w:r w:rsidR="00C909C7">
        <w:rPr>
          <w:sz w:val="24"/>
          <w:szCs w:val="24"/>
        </w:rPr>
        <w:t>with the generation of all libraries</w:t>
      </w:r>
      <w:r w:rsidR="00A2645C">
        <w:rPr>
          <w:sz w:val="24"/>
          <w:szCs w:val="24"/>
        </w:rPr>
        <w:t xml:space="preserve"> for selection of plasmid viability</w:t>
      </w:r>
      <w:r w:rsidR="00AE2B9F">
        <w:rPr>
          <w:sz w:val="24"/>
          <w:szCs w:val="24"/>
        </w:rPr>
        <w:t xml:space="preserve"> (data not shown)</w:t>
      </w:r>
      <w:r w:rsidR="00A2645C">
        <w:rPr>
          <w:sz w:val="24"/>
          <w:szCs w:val="24"/>
        </w:rPr>
        <w:t xml:space="preserve"> and used the recovered plasmid DNA</w:t>
      </w:r>
      <w:r w:rsidR="00015627">
        <w:rPr>
          <w:sz w:val="24"/>
          <w:szCs w:val="24"/>
        </w:rPr>
        <w:t xml:space="preserve"> to start selection for compatible origins</w:t>
      </w:r>
      <w:r w:rsidR="00AE2B9F">
        <w:rPr>
          <w:sz w:val="24"/>
          <w:szCs w:val="24"/>
        </w:rPr>
        <w:t xml:space="preserve">, introducing the library on the </w:t>
      </w:r>
      <w:r w:rsidR="007F78B4">
        <w:rPr>
          <w:sz w:val="24"/>
          <w:szCs w:val="24"/>
        </w:rPr>
        <w:t>regulatory plasmid</w:t>
      </w:r>
      <w:r w:rsidR="00015627">
        <w:rPr>
          <w:sz w:val="24"/>
          <w:szCs w:val="24"/>
        </w:rPr>
        <w:t xml:space="preserve">. </w:t>
      </w:r>
      <w:r w:rsidR="009D3856">
        <w:rPr>
          <w:sz w:val="24"/>
          <w:szCs w:val="24"/>
        </w:rPr>
        <w:t>Rather than</w:t>
      </w:r>
      <w:r w:rsidR="008616C9">
        <w:rPr>
          <w:sz w:val="24"/>
          <w:szCs w:val="24"/>
        </w:rPr>
        <w:t xml:space="preserve"> harvesting all colonies for selection by serial passaging</w:t>
      </w:r>
      <w:r w:rsidR="00D342A3">
        <w:rPr>
          <w:sz w:val="24"/>
          <w:szCs w:val="24"/>
        </w:rPr>
        <w:t xml:space="preserve">, we opted for </w:t>
      </w:r>
      <w:r w:rsidR="004E15E2">
        <w:rPr>
          <w:sz w:val="24"/>
          <w:szCs w:val="24"/>
        </w:rPr>
        <w:t>screening a small panel directly through the high-throughput assay</w:t>
      </w:r>
      <w:r w:rsidR="00E044E5">
        <w:rPr>
          <w:sz w:val="24"/>
          <w:szCs w:val="24"/>
        </w:rPr>
        <w:t xml:space="preserve">, as shown in </w:t>
      </w:r>
      <w:r w:rsidR="00E044E5" w:rsidRPr="00E044E5">
        <w:rPr>
          <w:b/>
          <w:bCs/>
          <w:sz w:val="24"/>
          <w:szCs w:val="24"/>
        </w:rPr>
        <w:t>Figur</w:t>
      </w:r>
      <w:r w:rsidR="007F78B4">
        <w:rPr>
          <w:b/>
          <w:bCs/>
          <w:sz w:val="24"/>
          <w:szCs w:val="24"/>
        </w:rPr>
        <w:t>e</w:t>
      </w:r>
      <w:r w:rsidR="00E044E5" w:rsidRPr="00E044E5">
        <w:rPr>
          <w:b/>
          <w:bCs/>
          <w:sz w:val="24"/>
          <w:szCs w:val="24"/>
        </w:rPr>
        <w:t xml:space="preserve"> 3</w:t>
      </w:r>
      <w:r w:rsidR="00442415">
        <w:rPr>
          <w:b/>
          <w:bCs/>
          <w:sz w:val="24"/>
          <w:szCs w:val="24"/>
        </w:rPr>
        <w:t xml:space="preserve"> </w:t>
      </w:r>
      <w:r w:rsidR="00442415" w:rsidRPr="009C2CE6">
        <w:rPr>
          <w:sz w:val="24"/>
          <w:szCs w:val="24"/>
        </w:rPr>
        <w:t>and</w:t>
      </w:r>
      <w:r w:rsidR="00442415">
        <w:rPr>
          <w:b/>
          <w:bCs/>
          <w:sz w:val="24"/>
          <w:szCs w:val="24"/>
        </w:rPr>
        <w:t xml:space="preserve"> SI Fig</w:t>
      </w:r>
      <w:r w:rsidR="009C2CE6">
        <w:rPr>
          <w:b/>
          <w:bCs/>
          <w:sz w:val="24"/>
          <w:szCs w:val="24"/>
        </w:rPr>
        <w:t xml:space="preserve"> 4</w:t>
      </w:r>
      <w:r w:rsidR="00FB24B0">
        <w:rPr>
          <w:sz w:val="24"/>
          <w:szCs w:val="24"/>
        </w:rPr>
        <w:t xml:space="preserve">, isolating </w:t>
      </w:r>
      <w:r w:rsidR="00271A4C">
        <w:rPr>
          <w:sz w:val="24"/>
          <w:szCs w:val="24"/>
        </w:rPr>
        <w:t>putative</w:t>
      </w:r>
      <w:r w:rsidR="00FB24B0">
        <w:rPr>
          <w:sz w:val="24"/>
          <w:szCs w:val="24"/>
        </w:rPr>
        <w:t xml:space="preserve"> compatible plasmids after a single overnight growth.</w:t>
      </w:r>
    </w:p>
    <w:p w14:paraId="226B6254" w14:textId="3F917610" w:rsidR="00477ACC" w:rsidRDefault="0043262B">
      <w:pPr>
        <w:spacing w:line="360" w:lineRule="auto"/>
        <w:jc w:val="both"/>
        <w:rPr>
          <w:sz w:val="24"/>
          <w:szCs w:val="24"/>
        </w:rPr>
      </w:pPr>
      <w:r>
        <w:rPr>
          <w:sz w:val="24"/>
          <w:szCs w:val="24"/>
        </w:rPr>
        <w:t xml:space="preserve">Using </w:t>
      </w:r>
      <w:r w:rsidR="0024302F">
        <w:rPr>
          <w:sz w:val="24"/>
          <w:szCs w:val="24"/>
        </w:rPr>
        <w:t>GFP levels normalised by the de</w:t>
      </w:r>
      <w:r w:rsidR="005166FF">
        <w:rPr>
          <w:sz w:val="24"/>
          <w:szCs w:val="24"/>
        </w:rPr>
        <w:t xml:space="preserve">nsity of the bacterial culture, eight isolates among the lowest GFP expression levels were selected for further </w:t>
      </w:r>
      <w:r w:rsidR="000665BC">
        <w:rPr>
          <w:sz w:val="24"/>
          <w:szCs w:val="24"/>
        </w:rPr>
        <w:t>analysis</w:t>
      </w:r>
      <w:r w:rsidR="005166FF">
        <w:rPr>
          <w:sz w:val="24"/>
          <w:szCs w:val="24"/>
        </w:rPr>
        <w:t>.</w:t>
      </w:r>
      <w:r w:rsidR="00A03402">
        <w:rPr>
          <w:sz w:val="24"/>
          <w:szCs w:val="24"/>
        </w:rPr>
        <w:t xml:space="preserve"> </w:t>
      </w:r>
      <w:r w:rsidR="00D2318E">
        <w:rPr>
          <w:sz w:val="24"/>
          <w:szCs w:val="24"/>
        </w:rPr>
        <w:t xml:space="preserve">Cells harbouring both wild-type and mutant origin plasmids were recovered (through </w:t>
      </w:r>
      <w:r w:rsidR="00FF4AF1">
        <w:rPr>
          <w:sz w:val="24"/>
          <w:szCs w:val="24"/>
        </w:rPr>
        <w:t>dual antibiotic selection), variant origins were isolated (through transformation) and sequenced</w:t>
      </w:r>
      <w:r w:rsidR="0020747D">
        <w:rPr>
          <w:sz w:val="24"/>
          <w:szCs w:val="24"/>
        </w:rPr>
        <w:t>.</w:t>
      </w:r>
      <w:r w:rsidR="0062388E">
        <w:rPr>
          <w:sz w:val="24"/>
          <w:szCs w:val="24"/>
        </w:rPr>
        <w:t xml:space="preserve"> </w:t>
      </w:r>
      <w:r w:rsidR="00401F3D">
        <w:rPr>
          <w:sz w:val="24"/>
          <w:szCs w:val="24"/>
        </w:rPr>
        <w:t xml:space="preserve">In the case of D4, two variants were identified within the population and, once separated, </w:t>
      </w:r>
      <w:r w:rsidR="00175E15">
        <w:rPr>
          <w:sz w:val="24"/>
          <w:szCs w:val="24"/>
        </w:rPr>
        <w:t xml:space="preserve">were </w:t>
      </w:r>
      <w:r w:rsidR="0045467C">
        <w:rPr>
          <w:sz w:val="24"/>
          <w:szCs w:val="24"/>
        </w:rPr>
        <w:t>named</w:t>
      </w:r>
      <w:r w:rsidR="00175E15">
        <w:rPr>
          <w:sz w:val="24"/>
          <w:szCs w:val="24"/>
        </w:rPr>
        <w:t xml:space="preserve"> D4 and D4II. </w:t>
      </w:r>
      <w:r w:rsidR="007C6C40">
        <w:rPr>
          <w:sz w:val="24"/>
          <w:szCs w:val="24"/>
        </w:rPr>
        <w:t>Five</w:t>
      </w:r>
      <w:r w:rsidR="001F3C14">
        <w:rPr>
          <w:sz w:val="24"/>
          <w:szCs w:val="24"/>
        </w:rPr>
        <w:t xml:space="preserve"> </w:t>
      </w:r>
      <w:r w:rsidR="007C6C40">
        <w:rPr>
          <w:sz w:val="24"/>
          <w:szCs w:val="24"/>
        </w:rPr>
        <w:t>of the nine variants</w:t>
      </w:r>
      <w:r w:rsidR="008A763B">
        <w:rPr>
          <w:sz w:val="24"/>
          <w:szCs w:val="24"/>
        </w:rPr>
        <w:t xml:space="preserve"> (D4, D4II, F4, G4 and G6)</w:t>
      </w:r>
      <w:r w:rsidR="001F3C14">
        <w:rPr>
          <w:sz w:val="24"/>
          <w:szCs w:val="24"/>
        </w:rPr>
        <w:t xml:space="preserve"> were selected for detailed characterisation</w:t>
      </w:r>
      <w:r w:rsidR="009E7540">
        <w:rPr>
          <w:sz w:val="24"/>
          <w:szCs w:val="24"/>
        </w:rPr>
        <w:t xml:space="preserve"> based on their </w:t>
      </w:r>
      <w:r w:rsidR="00477ACC">
        <w:rPr>
          <w:sz w:val="24"/>
          <w:szCs w:val="24"/>
        </w:rPr>
        <w:t>lower sequence homology to the wild-type origin.</w:t>
      </w:r>
    </w:p>
    <w:p w14:paraId="43399E14" w14:textId="55DD2684" w:rsidR="00520D9B" w:rsidRDefault="00A75FC8">
      <w:pPr>
        <w:spacing w:line="360" w:lineRule="auto"/>
        <w:jc w:val="both"/>
        <w:rPr>
          <w:sz w:val="24"/>
          <w:szCs w:val="24"/>
        </w:rPr>
      </w:pPr>
      <w:r>
        <w:rPr>
          <w:sz w:val="24"/>
          <w:szCs w:val="24"/>
        </w:rPr>
        <w:t xml:space="preserve">Plasmid compatibility of the novel origins was confirmed </w:t>
      </w:r>
      <w:r w:rsidR="00520D9B">
        <w:rPr>
          <w:sz w:val="24"/>
          <w:szCs w:val="24"/>
        </w:rPr>
        <w:t>by</w:t>
      </w:r>
      <w:r>
        <w:rPr>
          <w:sz w:val="24"/>
          <w:szCs w:val="24"/>
        </w:rPr>
        <w:t xml:space="preserve"> serial passaging</w:t>
      </w:r>
      <w:r w:rsidR="00A85AA9">
        <w:rPr>
          <w:sz w:val="24"/>
          <w:szCs w:val="24"/>
        </w:rPr>
        <w:t xml:space="preserve"> and selective plating</w:t>
      </w:r>
      <w:r w:rsidR="00A90BB4">
        <w:rPr>
          <w:sz w:val="24"/>
          <w:szCs w:val="24"/>
        </w:rPr>
        <w:t xml:space="preserve">, using selected variants in the reporter plasmid while maintaining </w:t>
      </w:r>
      <w:r w:rsidR="006318DC">
        <w:rPr>
          <w:sz w:val="24"/>
          <w:szCs w:val="24"/>
        </w:rPr>
        <w:t xml:space="preserve">the regulatory plasmid with its </w:t>
      </w:r>
      <w:r w:rsidR="00A90BB4">
        <w:rPr>
          <w:sz w:val="24"/>
          <w:szCs w:val="24"/>
        </w:rPr>
        <w:t>wild-type</w:t>
      </w:r>
      <w:r w:rsidR="006318DC">
        <w:rPr>
          <w:sz w:val="24"/>
          <w:szCs w:val="24"/>
        </w:rPr>
        <w:t xml:space="preserve"> origin. </w:t>
      </w:r>
      <w:r w:rsidR="009C5159">
        <w:rPr>
          <w:sz w:val="24"/>
          <w:szCs w:val="24"/>
        </w:rPr>
        <w:t xml:space="preserve">Even after seven days of co-culture, </w:t>
      </w:r>
      <w:r w:rsidR="00A80AA0">
        <w:rPr>
          <w:sz w:val="24"/>
          <w:szCs w:val="24"/>
        </w:rPr>
        <w:t xml:space="preserve">significant fraction of the population retained both plasmids, as shown in </w:t>
      </w:r>
      <w:r w:rsidR="00A80AA0" w:rsidRPr="00A80AA0">
        <w:rPr>
          <w:b/>
          <w:bCs/>
          <w:sz w:val="24"/>
          <w:szCs w:val="24"/>
        </w:rPr>
        <w:t>SI Fig 5</w:t>
      </w:r>
      <w:r w:rsidR="00A80AA0">
        <w:rPr>
          <w:sz w:val="24"/>
          <w:szCs w:val="24"/>
        </w:rPr>
        <w:t xml:space="preserve">. </w:t>
      </w:r>
    </w:p>
    <w:p w14:paraId="201B87D9" w14:textId="250420C2" w:rsidR="0076270A" w:rsidRDefault="0076270A">
      <w:pPr>
        <w:spacing w:line="360" w:lineRule="auto"/>
        <w:jc w:val="both"/>
        <w:rPr>
          <w:sz w:val="24"/>
          <w:szCs w:val="24"/>
        </w:rPr>
      </w:pPr>
      <w:r>
        <w:rPr>
          <w:sz w:val="24"/>
          <w:szCs w:val="24"/>
        </w:rPr>
        <w:t>Notably, serial passaging in the absence of antibiotic selection</w:t>
      </w:r>
      <w:r w:rsidR="00A8172F">
        <w:rPr>
          <w:sz w:val="24"/>
          <w:szCs w:val="24"/>
        </w:rPr>
        <w:t xml:space="preserve"> tests both plasmid stability and plasmid compatibility</w:t>
      </w:r>
      <w:r w:rsidR="00253F7C">
        <w:rPr>
          <w:sz w:val="24"/>
          <w:szCs w:val="24"/>
        </w:rPr>
        <w:t xml:space="preserve">. Biases in recovery from single antibiotic selections </w:t>
      </w:r>
      <w:r w:rsidR="005E1FF7">
        <w:rPr>
          <w:sz w:val="24"/>
          <w:szCs w:val="24"/>
        </w:rPr>
        <w:t xml:space="preserve">can be used to determine if compatibility is bidirectional. In our assays, because of the constant presence of </w:t>
      </w:r>
      <w:r w:rsidR="005E1FF7">
        <w:rPr>
          <w:sz w:val="24"/>
          <w:szCs w:val="24"/>
        </w:rPr>
        <w:lastRenderedPageBreak/>
        <w:t>selection for the reporter plasmid harbouring GFP</w:t>
      </w:r>
      <w:r w:rsidR="005C4F71">
        <w:rPr>
          <w:sz w:val="24"/>
          <w:szCs w:val="24"/>
        </w:rPr>
        <w:t xml:space="preserve">, the assay tests compatibility in a single direction and its results do not address </w:t>
      </w:r>
      <w:r w:rsidR="00D72F8E">
        <w:rPr>
          <w:sz w:val="24"/>
          <w:szCs w:val="24"/>
        </w:rPr>
        <w:t>how stable the plasmids remain.</w:t>
      </w:r>
      <w:r w:rsidR="005C3989">
        <w:rPr>
          <w:sz w:val="24"/>
          <w:szCs w:val="24"/>
        </w:rPr>
        <w:t xml:space="preserve"> </w:t>
      </w:r>
      <w:r w:rsidR="006D23FB">
        <w:rPr>
          <w:sz w:val="24"/>
          <w:szCs w:val="24"/>
        </w:rPr>
        <w:t xml:space="preserve">Evidence of compatibility </w:t>
      </w:r>
      <w:r w:rsidR="00D62F4E">
        <w:rPr>
          <w:sz w:val="24"/>
          <w:szCs w:val="24"/>
        </w:rPr>
        <w:t>from the novel variants in the regulatory plasmids (in selection) and in the reporter plasmids (in the subsequent serial passaging)</w:t>
      </w:r>
      <w:r w:rsidR="00856C8C">
        <w:rPr>
          <w:sz w:val="24"/>
          <w:szCs w:val="24"/>
        </w:rPr>
        <w:t xml:space="preserve"> suggest that the new variants are compatible with wild-type</w:t>
      </w:r>
      <w:r w:rsidR="004248CB">
        <w:rPr>
          <w:sz w:val="24"/>
          <w:szCs w:val="24"/>
        </w:rPr>
        <w:t xml:space="preserve"> and that this compatibility is bidirectional</w:t>
      </w:r>
      <w:r w:rsidR="00F6111E">
        <w:rPr>
          <w:sz w:val="24"/>
          <w:szCs w:val="24"/>
        </w:rPr>
        <w:t xml:space="preserve"> (in the experimental conditions used).</w:t>
      </w:r>
    </w:p>
    <w:p w14:paraId="50664663" w14:textId="2BEF4319" w:rsidR="00425595" w:rsidRDefault="00953ED2">
      <w:pPr>
        <w:spacing w:line="360" w:lineRule="auto"/>
        <w:jc w:val="both"/>
        <w:rPr>
          <w:sz w:val="24"/>
          <w:szCs w:val="24"/>
        </w:rPr>
      </w:pPr>
      <w:r>
        <w:rPr>
          <w:sz w:val="24"/>
          <w:szCs w:val="24"/>
        </w:rPr>
        <w:t xml:space="preserve">Although the isolated variants were </w:t>
      </w:r>
      <w:r w:rsidR="006C4834">
        <w:rPr>
          <w:sz w:val="24"/>
          <w:szCs w:val="24"/>
        </w:rPr>
        <w:t xml:space="preserve">selected for compatibility only against the wild-type origin, they </w:t>
      </w:r>
      <w:r w:rsidR="006F2986">
        <w:rPr>
          <w:sz w:val="24"/>
          <w:szCs w:val="24"/>
        </w:rPr>
        <w:t>showed</w:t>
      </w:r>
      <w:r w:rsidR="006C4834">
        <w:rPr>
          <w:sz w:val="24"/>
          <w:szCs w:val="24"/>
        </w:rPr>
        <w:t xml:space="preserve"> significant </w:t>
      </w:r>
      <w:r w:rsidR="00925E0E">
        <w:rPr>
          <w:sz w:val="24"/>
          <w:szCs w:val="24"/>
        </w:rPr>
        <w:t>loop variation</w:t>
      </w:r>
      <w:r w:rsidR="006C4834">
        <w:rPr>
          <w:sz w:val="24"/>
          <w:szCs w:val="24"/>
        </w:rPr>
        <w:t xml:space="preserve"> between </w:t>
      </w:r>
      <w:r w:rsidR="00925E0E">
        <w:rPr>
          <w:sz w:val="24"/>
          <w:szCs w:val="24"/>
        </w:rPr>
        <w:t xml:space="preserve">each other. </w:t>
      </w:r>
      <w:r w:rsidR="00E671DB">
        <w:rPr>
          <w:sz w:val="24"/>
          <w:szCs w:val="24"/>
        </w:rPr>
        <w:t>Hence</w:t>
      </w:r>
      <w:r w:rsidR="00425595">
        <w:rPr>
          <w:sz w:val="24"/>
          <w:szCs w:val="24"/>
        </w:rPr>
        <w:t xml:space="preserve">, we </w:t>
      </w:r>
      <w:r w:rsidR="003B1659">
        <w:rPr>
          <w:sz w:val="24"/>
          <w:szCs w:val="24"/>
        </w:rPr>
        <w:t xml:space="preserve">investigated </w:t>
      </w:r>
      <w:r w:rsidR="00425595">
        <w:rPr>
          <w:sz w:val="24"/>
          <w:szCs w:val="24"/>
        </w:rPr>
        <w:t>their cross-compatibility to test if sequence divergence alone could be used as guide to assess origin compatibility.</w:t>
      </w:r>
    </w:p>
    <w:p w14:paraId="586CFF33" w14:textId="226BE772" w:rsidR="00A84531" w:rsidRDefault="00425595">
      <w:pPr>
        <w:spacing w:line="360" w:lineRule="auto"/>
        <w:jc w:val="both"/>
        <w:rPr>
          <w:b/>
          <w:bCs/>
          <w:sz w:val="24"/>
          <w:szCs w:val="24"/>
        </w:rPr>
      </w:pPr>
      <w:r w:rsidRPr="00425595">
        <w:rPr>
          <w:b/>
          <w:bCs/>
          <w:sz w:val="24"/>
          <w:szCs w:val="24"/>
        </w:rPr>
        <w:t>Cross-</w:t>
      </w:r>
      <w:r w:rsidR="00C03D23">
        <w:rPr>
          <w:b/>
          <w:bCs/>
          <w:sz w:val="24"/>
          <w:szCs w:val="24"/>
        </w:rPr>
        <w:t xml:space="preserve"> and inter-</w:t>
      </w:r>
      <w:r w:rsidRPr="00425595">
        <w:rPr>
          <w:b/>
          <w:bCs/>
          <w:sz w:val="24"/>
          <w:szCs w:val="24"/>
        </w:rPr>
        <w:t>compatibility of novel colE1 origins</w:t>
      </w:r>
    </w:p>
    <w:p w14:paraId="096D0784" w14:textId="561B289F" w:rsidR="005808C9" w:rsidRDefault="00B9582E">
      <w:pPr>
        <w:spacing w:line="360" w:lineRule="auto"/>
        <w:jc w:val="both"/>
        <w:rPr>
          <w:sz w:val="24"/>
          <w:szCs w:val="24"/>
        </w:rPr>
      </w:pPr>
      <w:r>
        <w:rPr>
          <w:sz w:val="24"/>
          <w:szCs w:val="24"/>
        </w:rPr>
        <w:t xml:space="preserve">To explore all possible combinations, we generated a panel of strains harbouring all possible plasmid origin combinations between </w:t>
      </w:r>
      <w:r w:rsidR="00F02B35">
        <w:rPr>
          <w:sz w:val="24"/>
          <w:szCs w:val="24"/>
        </w:rPr>
        <w:t xml:space="preserve">reporter and regulatory plasmids. </w:t>
      </w:r>
      <w:r w:rsidR="0095456D">
        <w:rPr>
          <w:sz w:val="24"/>
          <w:szCs w:val="24"/>
        </w:rPr>
        <w:t>Except for</w:t>
      </w:r>
      <w:r w:rsidR="00F02B35">
        <w:rPr>
          <w:sz w:val="24"/>
          <w:szCs w:val="24"/>
        </w:rPr>
        <w:t xml:space="preserve"> the double wild-type combination, which we repeatedly failed to successfully obtain</w:t>
      </w:r>
      <w:r w:rsidR="00ED6758">
        <w:rPr>
          <w:sz w:val="24"/>
          <w:szCs w:val="24"/>
        </w:rPr>
        <w:t xml:space="preserve"> (without the emergence of mutations</w:t>
      </w:r>
      <w:r w:rsidR="00D21F58">
        <w:rPr>
          <w:sz w:val="24"/>
          <w:szCs w:val="24"/>
        </w:rPr>
        <w:t xml:space="preserve"> within the experimental time frame</w:t>
      </w:r>
      <w:r w:rsidR="00ED6758">
        <w:rPr>
          <w:sz w:val="24"/>
          <w:szCs w:val="24"/>
        </w:rPr>
        <w:t>)</w:t>
      </w:r>
      <w:r w:rsidR="0095456D">
        <w:rPr>
          <w:sz w:val="24"/>
          <w:szCs w:val="24"/>
        </w:rPr>
        <w:t xml:space="preserve">, all other 35 variants were </w:t>
      </w:r>
      <w:r w:rsidR="00D21F58">
        <w:rPr>
          <w:sz w:val="24"/>
          <w:szCs w:val="24"/>
        </w:rPr>
        <w:t>isolated</w:t>
      </w:r>
      <w:r w:rsidR="0095456D">
        <w:rPr>
          <w:sz w:val="24"/>
          <w:szCs w:val="24"/>
        </w:rPr>
        <w:t xml:space="preserve">. </w:t>
      </w:r>
    </w:p>
    <w:p w14:paraId="0DEE590C" w14:textId="3E42353D" w:rsidR="005F06DB" w:rsidRDefault="00664F40">
      <w:pPr>
        <w:spacing w:line="360" w:lineRule="auto"/>
        <w:jc w:val="both"/>
        <w:rPr>
          <w:sz w:val="24"/>
          <w:szCs w:val="24"/>
        </w:rPr>
      </w:pPr>
      <w:r>
        <w:rPr>
          <w:sz w:val="24"/>
          <w:szCs w:val="24"/>
        </w:rPr>
        <w:t xml:space="preserve">Although successfully used to </w:t>
      </w:r>
      <w:r w:rsidR="00BA7F59">
        <w:rPr>
          <w:sz w:val="24"/>
          <w:szCs w:val="24"/>
        </w:rPr>
        <w:t>identify</w:t>
      </w:r>
      <w:r>
        <w:rPr>
          <w:sz w:val="24"/>
          <w:szCs w:val="24"/>
        </w:rPr>
        <w:t xml:space="preserve"> compatible plasmids, the high-throughput compatibility assay clearly provided high background and significant </w:t>
      </w:r>
      <w:r w:rsidR="003202E9">
        <w:rPr>
          <w:sz w:val="24"/>
          <w:szCs w:val="24"/>
        </w:rPr>
        <w:t xml:space="preserve">experimental </w:t>
      </w:r>
      <w:r>
        <w:rPr>
          <w:sz w:val="24"/>
          <w:szCs w:val="24"/>
        </w:rPr>
        <w:t>variation</w:t>
      </w:r>
      <w:r w:rsidR="00B510DB">
        <w:rPr>
          <w:sz w:val="24"/>
          <w:szCs w:val="24"/>
        </w:rPr>
        <w:t xml:space="preserve"> (</w:t>
      </w:r>
      <w:r w:rsidR="00B510DB" w:rsidRPr="00B510DB">
        <w:rPr>
          <w:b/>
          <w:bCs/>
          <w:sz w:val="24"/>
          <w:szCs w:val="24"/>
        </w:rPr>
        <w:t>SI Fig 6</w:t>
      </w:r>
      <w:r w:rsidR="00B510DB" w:rsidRPr="00B510DB">
        <w:rPr>
          <w:sz w:val="24"/>
          <w:szCs w:val="24"/>
        </w:rPr>
        <w:t>)</w:t>
      </w:r>
      <w:r w:rsidR="00AB6B38">
        <w:rPr>
          <w:sz w:val="24"/>
          <w:szCs w:val="24"/>
        </w:rPr>
        <w:t xml:space="preserve">. </w:t>
      </w:r>
      <w:r w:rsidR="00BA7F59">
        <w:rPr>
          <w:sz w:val="24"/>
          <w:szCs w:val="24"/>
        </w:rPr>
        <w:t xml:space="preserve">Testing a small range of alternative growth media </w:t>
      </w:r>
      <w:r w:rsidR="006F2005">
        <w:rPr>
          <w:sz w:val="24"/>
          <w:szCs w:val="24"/>
        </w:rPr>
        <w:t>confirmed</w:t>
      </w:r>
      <w:r w:rsidR="00BA7F59">
        <w:rPr>
          <w:sz w:val="24"/>
          <w:szCs w:val="24"/>
        </w:rPr>
        <w:t xml:space="preserve"> that M9 minimal media</w:t>
      </w:r>
      <w:r w:rsidR="007C26CE">
        <w:rPr>
          <w:sz w:val="24"/>
          <w:szCs w:val="24"/>
        </w:rPr>
        <w:t xml:space="preserve"> provided the lowest fluorescence background while also maximising the </w:t>
      </w:r>
      <w:r w:rsidR="006F2005">
        <w:rPr>
          <w:sz w:val="24"/>
          <w:szCs w:val="24"/>
        </w:rPr>
        <w:t>discrimination between compatible and incompatible plasmids (</w:t>
      </w:r>
      <w:r w:rsidR="006F2005" w:rsidRPr="006F2005">
        <w:rPr>
          <w:b/>
          <w:bCs/>
          <w:sz w:val="24"/>
          <w:szCs w:val="24"/>
        </w:rPr>
        <w:t>Figure 4</w:t>
      </w:r>
      <w:r w:rsidR="006F2005">
        <w:rPr>
          <w:sz w:val="24"/>
          <w:szCs w:val="24"/>
        </w:rPr>
        <w:t xml:space="preserve"> and </w:t>
      </w:r>
      <w:r w:rsidR="006F2005" w:rsidRPr="006F2005">
        <w:rPr>
          <w:b/>
          <w:bCs/>
          <w:sz w:val="24"/>
          <w:szCs w:val="24"/>
        </w:rPr>
        <w:t>SI Fig 6</w:t>
      </w:r>
      <w:r w:rsidR="006F2005">
        <w:rPr>
          <w:sz w:val="24"/>
          <w:szCs w:val="24"/>
        </w:rPr>
        <w:t>).</w:t>
      </w:r>
      <w:r w:rsidR="006B1A21">
        <w:rPr>
          <w:sz w:val="24"/>
          <w:szCs w:val="24"/>
        </w:rPr>
        <w:t xml:space="preserve"> </w:t>
      </w:r>
      <w:r w:rsidR="00AA327C">
        <w:rPr>
          <w:sz w:val="24"/>
          <w:szCs w:val="24"/>
        </w:rPr>
        <w:t>G</w:t>
      </w:r>
      <w:r w:rsidR="006B1A21">
        <w:rPr>
          <w:sz w:val="24"/>
          <w:szCs w:val="24"/>
        </w:rPr>
        <w:t xml:space="preserve">iven the consistency of </w:t>
      </w:r>
      <w:r w:rsidR="00795500">
        <w:rPr>
          <w:sz w:val="24"/>
          <w:szCs w:val="24"/>
        </w:rPr>
        <w:t xml:space="preserve">the assay across the different media, </w:t>
      </w:r>
      <w:r w:rsidR="00DD01B5">
        <w:rPr>
          <w:sz w:val="24"/>
          <w:szCs w:val="24"/>
        </w:rPr>
        <w:t>the assay also suggests that the isolated compatible origins</w:t>
      </w:r>
      <w:r w:rsidR="00D15519">
        <w:rPr>
          <w:sz w:val="24"/>
          <w:szCs w:val="24"/>
        </w:rPr>
        <w:t xml:space="preserve"> remain so across a wide range of growth conditions.</w:t>
      </w:r>
      <w:r w:rsidR="006B0F51">
        <w:rPr>
          <w:sz w:val="24"/>
          <w:szCs w:val="24"/>
        </w:rPr>
        <w:t xml:space="preserve"> Flow cytometry analysis of the cultures also confirmed that the measured GFP signal was the result of high-level expression in individual cells rather than leaky GFP expression across the population (</w:t>
      </w:r>
      <w:r w:rsidR="006B0F51" w:rsidRPr="00AA327C">
        <w:rPr>
          <w:b/>
          <w:bCs/>
          <w:sz w:val="24"/>
          <w:szCs w:val="24"/>
        </w:rPr>
        <w:t>Figure 4</w:t>
      </w:r>
      <w:r w:rsidR="006B0F51">
        <w:rPr>
          <w:sz w:val="24"/>
          <w:szCs w:val="24"/>
        </w:rPr>
        <w:t>).</w:t>
      </w:r>
    </w:p>
    <w:p w14:paraId="470678D3" w14:textId="1618FAD0" w:rsidR="00B12B4A" w:rsidRDefault="00060109" w:rsidP="008F0CAA">
      <w:pPr>
        <w:spacing w:line="360" w:lineRule="auto"/>
        <w:jc w:val="both"/>
        <w:rPr>
          <w:i/>
          <w:iCs/>
          <w:color w:val="000000" w:themeColor="text1"/>
        </w:rPr>
      </w:pPr>
      <w:r w:rsidRPr="00876755">
        <w:rPr>
          <w:b/>
          <w:bCs/>
          <w:i/>
          <w:iCs/>
          <w:noProof/>
          <w:color w:val="000000" w:themeColor="text1"/>
        </w:rPr>
        <w:lastRenderedPageBreak/>
        <w:drawing>
          <wp:anchor distT="0" distB="0" distL="114300" distR="114300" simplePos="0" relativeHeight="251661312" behindDoc="0" locked="0" layoutInCell="1" allowOverlap="1" wp14:anchorId="74E48B4E" wp14:editId="2E95C3EE">
            <wp:simplePos x="0" y="0"/>
            <wp:positionH relativeFrom="column">
              <wp:posOffset>0</wp:posOffset>
            </wp:positionH>
            <wp:positionV relativeFrom="paragraph">
              <wp:posOffset>0</wp:posOffset>
            </wp:positionV>
            <wp:extent cx="3607315" cy="5486411"/>
            <wp:effectExtent l="0" t="0" r="0" b="0"/>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7315" cy="5486411"/>
                    </a:xfrm>
                    <a:prstGeom prst="rect">
                      <a:avLst/>
                    </a:prstGeom>
                  </pic:spPr>
                </pic:pic>
              </a:graphicData>
            </a:graphic>
          </wp:anchor>
        </w:drawing>
      </w:r>
      <w:r w:rsidR="008F0CAA" w:rsidRPr="00876755">
        <w:rPr>
          <w:b/>
          <w:bCs/>
          <w:i/>
          <w:iCs/>
          <w:color w:val="000000" w:themeColor="text1"/>
        </w:rPr>
        <w:t xml:space="preserve">Figure 4: </w:t>
      </w:r>
      <w:r w:rsidR="00393544" w:rsidRPr="00876755">
        <w:rPr>
          <w:b/>
          <w:bCs/>
          <w:i/>
          <w:iCs/>
          <w:color w:val="000000" w:themeColor="text1"/>
        </w:rPr>
        <w:t>Cross-compatibility and copy number variation of</w:t>
      </w:r>
      <w:r w:rsidR="00876755" w:rsidRPr="00876755">
        <w:rPr>
          <w:b/>
          <w:bCs/>
          <w:i/>
          <w:iCs/>
          <w:color w:val="000000" w:themeColor="text1"/>
        </w:rPr>
        <w:t xml:space="preserve"> colE1-compatible selected plasmid origins.</w:t>
      </w:r>
      <w:r w:rsidR="00E61CC8">
        <w:rPr>
          <w:b/>
          <w:bCs/>
          <w:i/>
          <w:iCs/>
          <w:color w:val="000000" w:themeColor="text1"/>
        </w:rPr>
        <w:t xml:space="preserve"> A.</w:t>
      </w:r>
      <w:r w:rsidR="00293339">
        <w:rPr>
          <w:b/>
          <w:bCs/>
          <w:i/>
          <w:iCs/>
          <w:color w:val="000000" w:themeColor="text1"/>
        </w:rPr>
        <w:t xml:space="preserve"> </w:t>
      </w:r>
      <w:r w:rsidR="009A0289">
        <w:rPr>
          <w:i/>
          <w:iCs/>
          <w:color w:val="000000" w:themeColor="text1"/>
        </w:rPr>
        <w:t>Using the high-throughput assay (shown in Figure 3)</w:t>
      </w:r>
      <w:r w:rsidR="00F60F0C">
        <w:rPr>
          <w:i/>
          <w:iCs/>
          <w:color w:val="000000" w:themeColor="text1"/>
        </w:rPr>
        <w:t xml:space="preserve">, the cross-compatibility between the different selected colE1-compatible plasmid origins </w:t>
      </w:r>
      <w:r w:rsidR="00305013">
        <w:rPr>
          <w:i/>
          <w:iCs/>
          <w:color w:val="000000" w:themeColor="text1"/>
        </w:rPr>
        <w:t>was measured. Here, data from the third passage</w:t>
      </w:r>
      <w:r w:rsidR="0014559F">
        <w:rPr>
          <w:i/>
          <w:iCs/>
          <w:color w:val="000000" w:themeColor="text1"/>
        </w:rPr>
        <w:t xml:space="preserve"> (therefore approximately 100 h of growth)</w:t>
      </w:r>
      <w:r w:rsidR="00305013">
        <w:rPr>
          <w:i/>
          <w:iCs/>
          <w:color w:val="000000" w:themeColor="text1"/>
        </w:rPr>
        <w:t xml:space="preserve"> of cells grown in M9 supplemented with kanamycin</w:t>
      </w:r>
      <w:r w:rsidR="00420978">
        <w:rPr>
          <w:i/>
          <w:iCs/>
          <w:color w:val="000000" w:themeColor="text1"/>
        </w:rPr>
        <w:t xml:space="preserve"> are shown. Fluorescence of each combination is shown (in arbitrary units) with significant fluorescence highlighted in green</w:t>
      </w:r>
      <w:r w:rsidR="00122488">
        <w:rPr>
          <w:i/>
          <w:iCs/>
          <w:color w:val="000000" w:themeColor="text1"/>
        </w:rPr>
        <w:t>.</w:t>
      </w:r>
      <w:r w:rsidR="006A4743">
        <w:rPr>
          <w:i/>
          <w:iCs/>
          <w:color w:val="000000" w:themeColor="text1"/>
        </w:rPr>
        <w:t xml:space="preserve"> </w:t>
      </w:r>
      <w:r w:rsidR="006A4743">
        <w:rPr>
          <w:b/>
          <w:bCs/>
          <w:i/>
          <w:iCs/>
          <w:color w:val="000000" w:themeColor="text1"/>
        </w:rPr>
        <w:t>B.</w:t>
      </w:r>
      <w:r w:rsidR="006A4743">
        <w:rPr>
          <w:i/>
          <w:iCs/>
          <w:color w:val="000000" w:themeColor="text1"/>
        </w:rPr>
        <w:t xml:space="preserve"> Two origin combinations</w:t>
      </w:r>
      <w:r w:rsidR="00122488">
        <w:rPr>
          <w:i/>
          <w:iCs/>
          <w:color w:val="000000" w:themeColor="text1"/>
        </w:rPr>
        <w:t xml:space="preserve"> (shown as blue boxes in A) </w:t>
      </w:r>
      <w:r w:rsidR="00AF2CF1">
        <w:rPr>
          <w:i/>
          <w:iCs/>
          <w:color w:val="000000" w:themeColor="text1"/>
        </w:rPr>
        <w:t>are shown here also in flow cytometry experiments, to highlight that fluorescence</w:t>
      </w:r>
      <w:r w:rsidR="004C5FC6">
        <w:rPr>
          <w:i/>
          <w:iCs/>
          <w:color w:val="000000" w:themeColor="text1"/>
        </w:rPr>
        <w:t xml:space="preserve"> was the result of high GFP expression from individual cells (presumably due to regulatory plasmid loss).</w:t>
      </w:r>
      <w:r w:rsidR="0072680E">
        <w:rPr>
          <w:i/>
          <w:iCs/>
          <w:color w:val="000000" w:themeColor="text1"/>
        </w:rPr>
        <w:t xml:space="preserve"> A more complete analysis is shown in SI Fig 6. </w:t>
      </w:r>
      <w:r w:rsidR="0072680E">
        <w:rPr>
          <w:b/>
          <w:bCs/>
          <w:i/>
          <w:iCs/>
          <w:color w:val="000000" w:themeColor="text1"/>
        </w:rPr>
        <w:t>C.</w:t>
      </w:r>
      <w:r w:rsidR="0072680E">
        <w:rPr>
          <w:i/>
          <w:iCs/>
          <w:color w:val="000000" w:themeColor="text1"/>
        </w:rPr>
        <w:t xml:space="preserve"> Digital PCR results</w:t>
      </w:r>
      <w:r w:rsidR="000B6EE5">
        <w:rPr>
          <w:i/>
          <w:iCs/>
          <w:color w:val="000000" w:themeColor="text1"/>
        </w:rPr>
        <w:t xml:space="preserve"> estimating the plasmid copy number of each origin in cells containing a single plasmid. </w:t>
      </w:r>
      <w:r w:rsidR="0069696B">
        <w:rPr>
          <w:i/>
          <w:iCs/>
          <w:color w:val="000000" w:themeColor="text1"/>
        </w:rPr>
        <w:t xml:space="preserve">Error bars represent the 95% confidence interval of </w:t>
      </w:r>
      <w:r w:rsidR="002F0F5D">
        <w:rPr>
          <w:i/>
          <w:iCs/>
          <w:color w:val="000000" w:themeColor="text1"/>
        </w:rPr>
        <w:t xml:space="preserve">the estimates. </w:t>
      </w:r>
      <w:r w:rsidR="002F0F5D">
        <w:rPr>
          <w:b/>
          <w:bCs/>
          <w:i/>
          <w:iCs/>
          <w:color w:val="000000" w:themeColor="text1"/>
        </w:rPr>
        <w:t>D.</w:t>
      </w:r>
      <w:r w:rsidR="00B12B4A">
        <w:rPr>
          <w:b/>
          <w:bCs/>
          <w:i/>
          <w:iCs/>
          <w:color w:val="000000" w:themeColor="text1"/>
        </w:rPr>
        <w:t xml:space="preserve"> </w:t>
      </w:r>
      <w:r w:rsidR="00B12B4A" w:rsidRPr="00B12B4A">
        <w:rPr>
          <w:i/>
          <w:iCs/>
          <w:color w:val="000000" w:themeColor="text1"/>
        </w:rPr>
        <w:t>Plasmid</w:t>
      </w:r>
      <w:r w:rsidR="00B12B4A">
        <w:rPr>
          <w:i/>
          <w:iCs/>
          <w:color w:val="000000" w:themeColor="text1"/>
        </w:rPr>
        <w:t xml:space="preserve"> co</w:t>
      </w:r>
      <w:r w:rsidR="008152DF">
        <w:rPr>
          <w:i/>
          <w:iCs/>
          <w:color w:val="000000" w:themeColor="text1"/>
        </w:rPr>
        <w:t>p</w:t>
      </w:r>
      <w:r w:rsidR="00B12B4A">
        <w:rPr>
          <w:i/>
          <w:iCs/>
          <w:color w:val="000000" w:themeColor="text1"/>
        </w:rPr>
        <w:t>y number</w:t>
      </w:r>
      <w:r w:rsidR="008152DF">
        <w:rPr>
          <w:i/>
          <w:iCs/>
          <w:color w:val="000000" w:themeColor="text1"/>
        </w:rPr>
        <w:t>s per cell correlate</w:t>
      </w:r>
      <w:r w:rsidR="00EC47DC">
        <w:rPr>
          <w:i/>
          <w:iCs/>
          <w:color w:val="000000" w:themeColor="text1"/>
        </w:rPr>
        <w:t>s (R</w:t>
      </w:r>
      <w:r w:rsidR="00EC47DC">
        <w:rPr>
          <w:i/>
          <w:iCs/>
          <w:color w:val="000000" w:themeColor="text1"/>
          <w:vertAlign w:val="superscript"/>
        </w:rPr>
        <w:t>2</w:t>
      </w:r>
      <w:r w:rsidR="00EC47DC">
        <w:rPr>
          <w:i/>
          <w:iCs/>
          <w:color w:val="000000" w:themeColor="text1"/>
        </w:rPr>
        <w:t xml:space="preserve"> = 0.9818)</w:t>
      </w:r>
      <w:r w:rsidR="008152DF">
        <w:rPr>
          <w:i/>
          <w:iCs/>
          <w:color w:val="000000" w:themeColor="text1"/>
        </w:rPr>
        <w:t xml:space="preserve"> with the sum of the RNAI loop length (based on ViennaRNA predictions)</w:t>
      </w:r>
      <w:r w:rsidR="00195FCE">
        <w:rPr>
          <w:i/>
          <w:iCs/>
          <w:color w:val="000000" w:themeColor="text1"/>
        </w:rPr>
        <w:t>, in the absence of Rom/Rop regulation.</w:t>
      </w:r>
      <w:r w:rsidR="002F0F5D">
        <w:rPr>
          <w:i/>
          <w:iCs/>
          <w:color w:val="000000" w:themeColor="text1"/>
        </w:rPr>
        <w:t xml:space="preserve"> </w:t>
      </w:r>
    </w:p>
    <w:p w14:paraId="258751AC" w14:textId="77777777" w:rsidR="00B12B4A" w:rsidRDefault="00B12B4A" w:rsidP="008F0CAA">
      <w:pPr>
        <w:spacing w:line="360" w:lineRule="auto"/>
        <w:jc w:val="both"/>
        <w:rPr>
          <w:i/>
          <w:iCs/>
          <w:color w:val="000000" w:themeColor="text1"/>
        </w:rPr>
      </w:pPr>
    </w:p>
    <w:p w14:paraId="4B53BF2A" w14:textId="7DF0B33C" w:rsidR="00656C99" w:rsidRPr="00E61CC8" w:rsidRDefault="00656C99" w:rsidP="008F0CAA">
      <w:pPr>
        <w:spacing w:line="360" w:lineRule="auto"/>
        <w:jc w:val="both"/>
        <w:rPr>
          <w:i/>
          <w:iCs/>
          <w:color w:val="000000" w:themeColor="text1"/>
        </w:rPr>
      </w:pPr>
    </w:p>
    <w:p w14:paraId="7A9618A6" w14:textId="1A7C9427" w:rsidR="009A045C" w:rsidRPr="00FC15CF" w:rsidRDefault="00EB7A9A">
      <w:pPr>
        <w:spacing w:line="360" w:lineRule="auto"/>
        <w:jc w:val="both"/>
        <w:rPr>
          <w:sz w:val="24"/>
          <w:szCs w:val="24"/>
        </w:rPr>
      </w:pPr>
      <w:r>
        <w:rPr>
          <w:sz w:val="24"/>
          <w:szCs w:val="24"/>
        </w:rPr>
        <w:t>As expected</w:t>
      </w:r>
      <w:r w:rsidR="00CA7A5A">
        <w:rPr>
          <w:sz w:val="24"/>
          <w:szCs w:val="24"/>
        </w:rPr>
        <w:t xml:space="preserve">, all isolated origins remained compatible with the wild-type colE1 </w:t>
      </w:r>
      <w:r w:rsidR="001616B1">
        <w:rPr>
          <w:sz w:val="24"/>
          <w:szCs w:val="24"/>
        </w:rPr>
        <w:t xml:space="preserve">over multiple passages irrespective </w:t>
      </w:r>
      <w:r w:rsidR="00292629">
        <w:rPr>
          <w:sz w:val="24"/>
          <w:szCs w:val="24"/>
        </w:rPr>
        <w:t>of whether they had been placed in the regulatory or reporter plasmid</w:t>
      </w:r>
      <w:r w:rsidR="008F0CAA">
        <w:rPr>
          <w:sz w:val="24"/>
          <w:szCs w:val="24"/>
        </w:rPr>
        <w:t xml:space="preserve"> (</w:t>
      </w:r>
      <w:r w:rsidR="008F0CAA" w:rsidRPr="008F0CAA">
        <w:rPr>
          <w:b/>
          <w:bCs/>
          <w:sz w:val="24"/>
          <w:szCs w:val="24"/>
        </w:rPr>
        <w:t>Figure 4</w:t>
      </w:r>
      <w:r w:rsidR="008F0CAA">
        <w:rPr>
          <w:sz w:val="24"/>
          <w:szCs w:val="24"/>
        </w:rPr>
        <w:t>)</w:t>
      </w:r>
      <w:r w:rsidR="00292629">
        <w:rPr>
          <w:sz w:val="24"/>
          <w:szCs w:val="24"/>
        </w:rPr>
        <w:t xml:space="preserve"> </w:t>
      </w:r>
      <w:r w:rsidR="00990FA9">
        <w:rPr>
          <w:sz w:val="24"/>
          <w:szCs w:val="24"/>
        </w:rPr>
        <w:t>–</w:t>
      </w:r>
      <w:r w:rsidR="00292629">
        <w:rPr>
          <w:sz w:val="24"/>
          <w:szCs w:val="24"/>
        </w:rPr>
        <w:t xml:space="preserve"> </w:t>
      </w:r>
      <w:r w:rsidR="00990FA9">
        <w:rPr>
          <w:sz w:val="24"/>
          <w:szCs w:val="24"/>
        </w:rPr>
        <w:t xml:space="preserve">the latter </w:t>
      </w:r>
      <w:r w:rsidR="00816591">
        <w:rPr>
          <w:sz w:val="24"/>
          <w:szCs w:val="24"/>
        </w:rPr>
        <w:t>maintained through antibiotic selection</w:t>
      </w:r>
      <w:r w:rsidR="00292629">
        <w:rPr>
          <w:sz w:val="24"/>
          <w:szCs w:val="24"/>
        </w:rPr>
        <w:t>.</w:t>
      </w:r>
      <w:r w:rsidR="00816591">
        <w:rPr>
          <w:sz w:val="24"/>
          <w:szCs w:val="24"/>
        </w:rPr>
        <w:t xml:space="preserve"> The new origins also displayed </w:t>
      </w:r>
      <w:r w:rsidR="00941256">
        <w:rPr>
          <w:sz w:val="24"/>
          <w:szCs w:val="24"/>
        </w:rPr>
        <w:t>the expected self-</w:t>
      </w:r>
      <w:r w:rsidR="00D13085">
        <w:rPr>
          <w:sz w:val="24"/>
          <w:szCs w:val="24"/>
        </w:rPr>
        <w:t>incompatibility</w:t>
      </w:r>
      <w:r w:rsidR="00190F9E">
        <w:rPr>
          <w:sz w:val="24"/>
          <w:szCs w:val="24"/>
        </w:rPr>
        <w:t>, unrelated to copy number</w:t>
      </w:r>
      <w:r w:rsidR="00FC15CF">
        <w:rPr>
          <w:sz w:val="24"/>
          <w:szCs w:val="24"/>
        </w:rPr>
        <w:t xml:space="preserve"> but presumably correlated to the dynamics of the loop interactions </w:t>
      </w:r>
      <w:r w:rsidR="00FC15CF">
        <w:rPr>
          <w:i/>
          <w:iCs/>
          <w:sz w:val="24"/>
          <w:szCs w:val="24"/>
        </w:rPr>
        <w:t>in vivo</w:t>
      </w:r>
      <w:r w:rsidR="00C37FBF">
        <w:rPr>
          <w:sz w:val="24"/>
          <w:szCs w:val="24"/>
        </w:rPr>
        <w:t xml:space="preserve">. We hypothesise that </w:t>
      </w:r>
      <w:r w:rsidR="006B1422">
        <w:rPr>
          <w:sz w:val="24"/>
          <w:szCs w:val="24"/>
        </w:rPr>
        <w:t xml:space="preserve">loop interactions </w:t>
      </w:r>
      <w:r w:rsidR="005A28F2">
        <w:rPr>
          <w:sz w:val="24"/>
          <w:szCs w:val="24"/>
        </w:rPr>
        <w:t xml:space="preserve">that are not further stabilized by the hairpin rigid conformation (i.e. are not true kissing loops) </w:t>
      </w:r>
      <w:r w:rsidR="00D1398E">
        <w:rPr>
          <w:sz w:val="24"/>
          <w:szCs w:val="24"/>
        </w:rPr>
        <w:t xml:space="preserve">lead to longer </w:t>
      </w:r>
      <w:r w:rsidR="00022BA4">
        <w:rPr>
          <w:sz w:val="24"/>
          <w:szCs w:val="24"/>
        </w:rPr>
        <w:t>persistence of incompatible plasmids in a cell.</w:t>
      </w:r>
    </w:p>
    <w:p w14:paraId="3E725D0D" w14:textId="0956F811" w:rsidR="00484A4B" w:rsidRDefault="00022BA4">
      <w:pPr>
        <w:spacing w:line="360" w:lineRule="auto"/>
        <w:jc w:val="both"/>
        <w:rPr>
          <w:sz w:val="24"/>
          <w:szCs w:val="24"/>
        </w:rPr>
      </w:pPr>
      <w:r>
        <w:rPr>
          <w:sz w:val="24"/>
          <w:szCs w:val="24"/>
        </w:rPr>
        <w:t xml:space="preserve">Cross-compatibility </w:t>
      </w:r>
      <w:r w:rsidR="00565C4C">
        <w:rPr>
          <w:sz w:val="24"/>
          <w:szCs w:val="24"/>
        </w:rPr>
        <w:t>between the engineered origins was observed but it was not universal</w:t>
      </w:r>
      <w:r w:rsidR="002B2EB2">
        <w:rPr>
          <w:sz w:val="24"/>
          <w:szCs w:val="24"/>
        </w:rPr>
        <w:t xml:space="preserve">, with a clear </w:t>
      </w:r>
      <w:r w:rsidR="0038558C">
        <w:rPr>
          <w:sz w:val="24"/>
          <w:szCs w:val="24"/>
        </w:rPr>
        <w:t xml:space="preserve">dependence </w:t>
      </w:r>
      <w:r w:rsidR="00F379FC">
        <w:rPr>
          <w:sz w:val="24"/>
          <w:szCs w:val="24"/>
        </w:rPr>
        <w:t>on</w:t>
      </w:r>
      <w:r w:rsidR="0038558C">
        <w:rPr>
          <w:sz w:val="24"/>
          <w:szCs w:val="24"/>
        </w:rPr>
        <w:t xml:space="preserve"> which plasmid remained under selection in the assay</w:t>
      </w:r>
      <w:r w:rsidR="00996493">
        <w:rPr>
          <w:sz w:val="24"/>
          <w:szCs w:val="24"/>
        </w:rPr>
        <w:t xml:space="preserve"> (</w:t>
      </w:r>
      <w:r w:rsidR="00996493" w:rsidRPr="00565C4C">
        <w:rPr>
          <w:b/>
          <w:bCs/>
          <w:sz w:val="24"/>
          <w:szCs w:val="24"/>
        </w:rPr>
        <w:t>Figure 4</w:t>
      </w:r>
      <w:r w:rsidR="00E246C3">
        <w:rPr>
          <w:b/>
          <w:bCs/>
          <w:sz w:val="24"/>
          <w:szCs w:val="24"/>
        </w:rPr>
        <w:t xml:space="preserve"> </w:t>
      </w:r>
      <w:r w:rsidR="00E246C3">
        <w:rPr>
          <w:sz w:val="24"/>
          <w:szCs w:val="24"/>
        </w:rPr>
        <w:t xml:space="preserve">and </w:t>
      </w:r>
      <w:r w:rsidR="00E246C3">
        <w:rPr>
          <w:b/>
          <w:bCs/>
          <w:sz w:val="24"/>
          <w:szCs w:val="24"/>
        </w:rPr>
        <w:t>SI Fig</w:t>
      </w:r>
      <w:r w:rsidR="00E87EB1">
        <w:rPr>
          <w:b/>
          <w:bCs/>
          <w:sz w:val="24"/>
          <w:szCs w:val="24"/>
        </w:rPr>
        <w:t xml:space="preserve"> 6</w:t>
      </w:r>
      <w:r w:rsidR="00996493">
        <w:rPr>
          <w:sz w:val="24"/>
          <w:szCs w:val="24"/>
        </w:rPr>
        <w:t>)</w:t>
      </w:r>
      <w:r w:rsidR="00107633">
        <w:rPr>
          <w:sz w:val="24"/>
          <w:szCs w:val="24"/>
        </w:rPr>
        <w:t>.</w:t>
      </w:r>
      <w:r w:rsidR="006461F4">
        <w:rPr>
          <w:sz w:val="24"/>
          <w:szCs w:val="24"/>
        </w:rPr>
        <w:t xml:space="preserve"> That cannot be explained by plasmid </w:t>
      </w:r>
      <w:r w:rsidR="00E87EB1">
        <w:rPr>
          <w:sz w:val="24"/>
          <w:szCs w:val="24"/>
        </w:rPr>
        <w:t>instability since</w:t>
      </w:r>
      <w:r w:rsidR="009E1C29">
        <w:rPr>
          <w:sz w:val="24"/>
          <w:szCs w:val="24"/>
        </w:rPr>
        <w:t xml:space="preserve"> that should have resulted in the systematic loss of a given origin when placed in the regulatory plasmid (not under selection).</w:t>
      </w:r>
      <w:r w:rsidR="00EF1DA2">
        <w:rPr>
          <w:sz w:val="24"/>
          <w:szCs w:val="24"/>
        </w:rPr>
        <w:t xml:space="preserve"> </w:t>
      </w:r>
    </w:p>
    <w:p w14:paraId="731D2479" w14:textId="64FD9524" w:rsidR="00437235" w:rsidRDefault="00EF1DA2">
      <w:pPr>
        <w:spacing w:line="360" w:lineRule="auto"/>
        <w:jc w:val="both"/>
        <w:rPr>
          <w:sz w:val="24"/>
          <w:szCs w:val="24"/>
        </w:rPr>
      </w:pPr>
      <w:r>
        <w:rPr>
          <w:sz w:val="24"/>
          <w:szCs w:val="24"/>
        </w:rPr>
        <w:t>On the other hand, given that plasmid segregation of colE1 origins is expected to be stochastic</w:t>
      </w:r>
      <w:r w:rsidR="001E58F4">
        <w:rPr>
          <w:sz w:val="24"/>
          <w:szCs w:val="24"/>
        </w:rPr>
        <w:t>, such “directional” compatibility can be the result of differences in plasmid copy number.</w:t>
      </w:r>
      <w:r w:rsidR="009112B6">
        <w:rPr>
          <w:sz w:val="24"/>
          <w:szCs w:val="24"/>
        </w:rPr>
        <w:t xml:space="preserve"> We therefore determined the copy number of each of the characterised origins (</w:t>
      </w:r>
      <w:r w:rsidR="009112B6" w:rsidRPr="009112B6">
        <w:rPr>
          <w:b/>
          <w:bCs/>
          <w:sz w:val="24"/>
          <w:szCs w:val="24"/>
        </w:rPr>
        <w:t>Figure 4</w:t>
      </w:r>
      <w:r w:rsidR="00E87EB1">
        <w:rPr>
          <w:b/>
          <w:bCs/>
          <w:sz w:val="24"/>
          <w:szCs w:val="24"/>
        </w:rPr>
        <w:t xml:space="preserve"> </w:t>
      </w:r>
      <w:r w:rsidR="00E87EB1">
        <w:rPr>
          <w:sz w:val="24"/>
          <w:szCs w:val="24"/>
        </w:rPr>
        <w:t xml:space="preserve">and </w:t>
      </w:r>
      <w:r w:rsidR="00E87EB1">
        <w:rPr>
          <w:b/>
          <w:bCs/>
          <w:sz w:val="24"/>
          <w:szCs w:val="24"/>
        </w:rPr>
        <w:t>SI Fig 7</w:t>
      </w:r>
      <w:r w:rsidR="009112B6">
        <w:rPr>
          <w:sz w:val="24"/>
          <w:szCs w:val="24"/>
        </w:rPr>
        <w:t>)</w:t>
      </w:r>
      <w:r w:rsidR="000F4F69">
        <w:rPr>
          <w:sz w:val="24"/>
          <w:szCs w:val="24"/>
        </w:rPr>
        <w:t>.</w:t>
      </w:r>
      <w:r w:rsidR="00484A4B">
        <w:rPr>
          <w:sz w:val="24"/>
          <w:szCs w:val="24"/>
        </w:rPr>
        <w:t xml:space="preserve"> </w:t>
      </w:r>
      <w:r w:rsidR="006E1308">
        <w:rPr>
          <w:sz w:val="24"/>
          <w:szCs w:val="24"/>
        </w:rPr>
        <w:t>While there is correlation between plasmid loss and plasmid copy number</w:t>
      </w:r>
      <w:r w:rsidR="00B96658">
        <w:rPr>
          <w:sz w:val="24"/>
          <w:szCs w:val="24"/>
        </w:rPr>
        <w:t>,</w:t>
      </w:r>
      <w:r w:rsidR="00954DD9">
        <w:rPr>
          <w:sz w:val="24"/>
          <w:szCs w:val="24"/>
        </w:rPr>
        <w:t xml:space="preserve"> since </w:t>
      </w:r>
      <w:r w:rsidR="001E4BAF">
        <w:rPr>
          <w:sz w:val="24"/>
          <w:szCs w:val="24"/>
        </w:rPr>
        <w:t xml:space="preserve">plasmid loss was only observed in </w:t>
      </w:r>
      <w:r w:rsidR="0041670E">
        <w:rPr>
          <w:sz w:val="24"/>
          <w:szCs w:val="24"/>
        </w:rPr>
        <w:t>combinations</w:t>
      </w:r>
      <w:r w:rsidR="001E4BAF">
        <w:rPr>
          <w:sz w:val="24"/>
          <w:szCs w:val="24"/>
        </w:rPr>
        <w:t xml:space="preserve"> where the regulatory plasmid was expected to be at a lower copy number than the reporter</w:t>
      </w:r>
      <w:r w:rsidR="00A23B6B">
        <w:rPr>
          <w:sz w:val="24"/>
          <w:szCs w:val="24"/>
        </w:rPr>
        <w:t>,</w:t>
      </w:r>
      <w:r w:rsidR="0041670E">
        <w:rPr>
          <w:sz w:val="24"/>
          <w:szCs w:val="24"/>
        </w:rPr>
        <w:t xml:space="preserve"> </w:t>
      </w:r>
      <w:r w:rsidR="00916004">
        <w:rPr>
          <w:sz w:val="24"/>
          <w:szCs w:val="24"/>
        </w:rPr>
        <w:t xml:space="preserve">the correlation is not perfect. </w:t>
      </w:r>
    </w:p>
    <w:p w14:paraId="75B6A50A" w14:textId="06836A70" w:rsidR="009353B6" w:rsidRDefault="00C31CBA">
      <w:pPr>
        <w:spacing w:line="360" w:lineRule="auto"/>
        <w:jc w:val="both"/>
        <w:rPr>
          <w:sz w:val="24"/>
          <w:szCs w:val="24"/>
        </w:rPr>
      </w:pPr>
      <w:r>
        <w:rPr>
          <w:sz w:val="24"/>
          <w:szCs w:val="24"/>
        </w:rPr>
        <w:t xml:space="preserve">The pairwise cross-compatibility of origins also suggested </w:t>
      </w:r>
      <w:r w:rsidR="00DE5049">
        <w:rPr>
          <w:sz w:val="24"/>
          <w:szCs w:val="24"/>
        </w:rPr>
        <w:t>plasmid combinations that should result in intercompatible origins, e.g. wild-type</w:t>
      </w:r>
      <w:r w:rsidR="00CB47ED">
        <w:rPr>
          <w:sz w:val="24"/>
          <w:szCs w:val="24"/>
        </w:rPr>
        <w:t>, D4II and G4</w:t>
      </w:r>
      <w:r w:rsidR="00C205BD">
        <w:rPr>
          <w:sz w:val="24"/>
          <w:szCs w:val="24"/>
        </w:rPr>
        <w:t xml:space="preserve">. </w:t>
      </w:r>
      <w:r w:rsidR="0068606C">
        <w:rPr>
          <w:sz w:val="24"/>
          <w:szCs w:val="24"/>
        </w:rPr>
        <w:t xml:space="preserve">We tested </w:t>
      </w:r>
      <w:r w:rsidR="00406038">
        <w:rPr>
          <w:sz w:val="24"/>
          <w:szCs w:val="24"/>
        </w:rPr>
        <w:t>three</w:t>
      </w:r>
      <w:r w:rsidR="0068606C">
        <w:rPr>
          <w:sz w:val="24"/>
          <w:szCs w:val="24"/>
        </w:rPr>
        <w:t xml:space="preserve"> </w:t>
      </w:r>
      <w:r w:rsidR="006C56CE">
        <w:rPr>
          <w:sz w:val="24"/>
          <w:szCs w:val="24"/>
        </w:rPr>
        <w:t>origin</w:t>
      </w:r>
      <w:r w:rsidR="0068606C">
        <w:rPr>
          <w:sz w:val="24"/>
          <w:szCs w:val="24"/>
        </w:rPr>
        <w:t xml:space="preserve"> combinations</w:t>
      </w:r>
      <w:r w:rsidR="00C035DF">
        <w:rPr>
          <w:sz w:val="24"/>
          <w:szCs w:val="24"/>
        </w:rPr>
        <w:t xml:space="preserve"> </w:t>
      </w:r>
      <w:r w:rsidR="0068606C">
        <w:rPr>
          <w:sz w:val="24"/>
          <w:szCs w:val="24"/>
        </w:rPr>
        <w:t>using a 3-plasmid system – each expressing a different fluorescent protein</w:t>
      </w:r>
      <w:r w:rsidR="00BA3B39">
        <w:rPr>
          <w:sz w:val="24"/>
          <w:szCs w:val="24"/>
        </w:rPr>
        <w:t xml:space="preserve"> (mApple, sfGFP and BFP)</w:t>
      </w:r>
      <w:r w:rsidR="008F33E7">
        <w:rPr>
          <w:sz w:val="24"/>
          <w:szCs w:val="24"/>
        </w:rPr>
        <w:t xml:space="preserve"> under an inducible promoter</w:t>
      </w:r>
      <w:r w:rsidR="003572ED">
        <w:rPr>
          <w:sz w:val="24"/>
          <w:szCs w:val="24"/>
        </w:rPr>
        <w:t xml:space="preserve"> </w:t>
      </w:r>
      <w:r w:rsidR="00D029EA">
        <w:rPr>
          <w:sz w:val="24"/>
          <w:szCs w:val="24"/>
        </w:rPr>
        <w:t>(</w:t>
      </w:r>
      <w:r w:rsidR="00D029EA" w:rsidRPr="00D029EA">
        <w:rPr>
          <w:b/>
          <w:bCs/>
          <w:sz w:val="24"/>
          <w:szCs w:val="24"/>
        </w:rPr>
        <w:t>Figure 5</w:t>
      </w:r>
      <w:r w:rsidR="00D029EA">
        <w:rPr>
          <w:sz w:val="24"/>
          <w:szCs w:val="24"/>
        </w:rPr>
        <w:t>)</w:t>
      </w:r>
      <w:r w:rsidR="003572ED">
        <w:rPr>
          <w:sz w:val="24"/>
          <w:szCs w:val="24"/>
        </w:rPr>
        <w:t>.</w:t>
      </w:r>
      <w:r w:rsidR="006A0B9D">
        <w:rPr>
          <w:sz w:val="24"/>
          <w:szCs w:val="24"/>
        </w:rPr>
        <w:t xml:space="preserve"> </w:t>
      </w:r>
      <w:r w:rsidR="00D64123">
        <w:rPr>
          <w:sz w:val="24"/>
          <w:szCs w:val="24"/>
        </w:rPr>
        <w:t xml:space="preserve">Despite optimization, expression levels of blue fluorescent protein were low and discrimination between </w:t>
      </w:r>
      <w:r w:rsidR="0025193D">
        <w:rPr>
          <w:sz w:val="24"/>
          <w:szCs w:val="24"/>
        </w:rPr>
        <w:t xml:space="preserve">bacterial populations (expressing or not BFP) </w:t>
      </w:r>
      <w:r w:rsidR="00955A47">
        <w:rPr>
          <w:sz w:val="24"/>
          <w:szCs w:val="24"/>
        </w:rPr>
        <w:t xml:space="preserve">not always easy. As a result, where possible, </w:t>
      </w:r>
      <w:r w:rsidR="00F7177B">
        <w:rPr>
          <w:sz w:val="24"/>
          <w:szCs w:val="24"/>
        </w:rPr>
        <w:t xml:space="preserve">we tracked plasmids encoding for BFP </w:t>
      </w:r>
      <w:r w:rsidR="008151B8">
        <w:rPr>
          <w:sz w:val="24"/>
          <w:szCs w:val="24"/>
        </w:rPr>
        <w:t xml:space="preserve">by fluorescence (experiments carried out in the absence of </w:t>
      </w:r>
      <w:r w:rsidR="00F70387">
        <w:rPr>
          <w:sz w:val="24"/>
          <w:szCs w:val="24"/>
        </w:rPr>
        <w:t xml:space="preserve">antibiotics) </w:t>
      </w:r>
      <w:r w:rsidR="003C7113">
        <w:rPr>
          <w:sz w:val="24"/>
          <w:szCs w:val="24"/>
        </w:rPr>
        <w:t>or</w:t>
      </w:r>
      <w:r w:rsidR="00F70387">
        <w:rPr>
          <w:sz w:val="24"/>
          <w:szCs w:val="24"/>
        </w:rPr>
        <w:t xml:space="preserve"> by its resistance marker</w:t>
      </w:r>
      <w:r w:rsidR="00C24C66">
        <w:rPr>
          <w:sz w:val="24"/>
          <w:szCs w:val="24"/>
        </w:rPr>
        <w:t xml:space="preserve"> (experiments carried out in the presence of chloramphenicol).</w:t>
      </w:r>
    </w:p>
    <w:p w14:paraId="03B86134" w14:textId="5F9F3CFD" w:rsidR="00F91D67" w:rsidRPr="00AE1DE9" w:rsidRDefault="00060109" w:rsidP="0003338E">
      <w:pPr>
        <w:spacing w:line="360" w:lineRule="auto"/>
        <w:jc w:val="both"/>
        <w:rPr>
          <w:i/>
          <w:iCs/>
        </w:rPr>
      </w:pPr>
      <w:r w:rsidRPr="00D912F3">
        <w:rPr>
          <w:b/>
          <w:bCs/>
          <w:i/>
          <w:iCs/>
          <w:noProof/>
          <w:color w:val="000000" w:themeColor="text1"/>
        </w:rPr>
        <w:lastRenderedPageBreak/>
        <w:drawing>
          <wp:anchor distT="0" distB="0" distL="114300" distR="114300" simplePos="0" relativeHeight="251662336" behindDoc="0" locked="0" layoutInCell="1" allowOverlap="1" wp14:anchorId="3E726239" wp14:editId="4167A269">
            <wp:simplePos x="0" y="0"/>
            <wp:positionH relativeFrom="column">
              <wp:posOffset>0</wp:posOffset>
            </wp:positionH>
            <wp:positionV relativeFrom="paragraph">
              <wp:posOffset>0</wp:posOffset>
            </wp:positionV>
            <wp:extent cx="5730875" cy="6590665"/>
            <wp:effectExtent l="0" t="0" r="317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875" cy="6590665"/>
                    </a:xfrm>
                    <a:prstGeom prst="rect">
                      <a:avLst/>
                    </a:prstGeom>
                  </pic:spPr>
                </pic:pic>
              </a:graphicData>
            </a:graphic>
          </wp:anchor>
        </w:drawing>
      </w:r>
      <w:r w:rsidR="0003338E" w:rsidRPr="00D912F3">
        <w:rPr>
          <w:b/>
          <w:bCs/>
          <w:i/>
          <w:iCs/>
          <w:color w:val="000000" w:themeColor="text1"/>
        </w:rPr>
        <w:t xml:space="preserve">Figure 5: </w:t>
      </w:r>
      <w:r w:rsidR="00D912F3" w:rsidRPr="00D912F3">
        <w:rPr>
          <w:b/>
          <w:bCs/>
          <w:i/>
          <w:iCs/>
          <w:color w:val="000000" w:themeColor="text1"/>
        </w:rPr>
        <w:t>Selected plasmid origins intercompatibility.</w:t>
      </w:r>
      <w:r w:rsidR="00D912F3" w:rsidRPr="00D912F3">
        <w:rPr>
          <w:b/>
          <w:i/>
          <w:iCs/>
        </w:rPr>
        <w:t xml:space="preserve"> A. </w:t>
      </w:r>
      <w:r w:rsidR="00D912F3" w:rsidRPr="00D912F3">
        <w:rPr>
          <w:i/>
          <w:iCs/>
        </w:rPr>
        <w:t>pBAD vectors</w:t>
      </w:r>
      <w:r w:rsidR="008945DD">
        <w:rPr>
          <w:i/>
          <w:iCs/>
        </w:rPr>
        <w:t xml:space="preserve"> harbouring fluorescent protein genes (</w:t>
      </w:r>
      <w:r w:rsidR="00DB6327">
        <w:rPr>
          <w:i/>
          <w:iCs/>
        </w:rPr>
        <w:t xml:space="preserve">based on plasmids </w:t>
      </w:r>
      <w:r w:rsidR="008945DD">
        <w:rPr>
          <w:i/>
          <w:iCs/>
        </w:rPr>
        <w:t># 54519, #54536 and #54572 from Addgene)</w:t>
      </w:r>
      <w:r w:rsidR="00D912F3" w:rsidRPr="00D912F3">
        <w:rPr>
          <w:i/>
          <w:iCs/>
        </w:rPr>
        <w:t xml:space="preserve"> were engineered to </w:t>
      </w:r>
      <w:r w:rsidR="00E63D95">
        <w:rPr>
          <w:i/>
          <w:iCs/>
        </w:rPr>
        <w:t>harbour different replication origins</w:t>
      </w:r>
      <w:r w:rsidR="00DB6327">
        <w:rPr>
          <w:i/>
          <w:iCs/>
        </w:rPr>
        <w:t xml:space="preserve"> and different selectable markers.</w:t>
      </w:r>
      <w:r w:rsidR="00660179">
        <w:rPr>
          <w:i/>
          <w:iCs/>
        </w:rPr>
        <w:t xml:space="preserve"> </w:t>
      </w:r>
      <w:r w:rsidR="00660179">
        <w:rPr>
          <w:b/>
          <w:bCs/>
          <w:i/>
          <w:iCs/>
        </w:rPr>
        <w:t>B.</w:t>
      </w:r>
      <w:r w:rsidR="00660179">
        <w:rPr>
          <w:i/>
          <w:iCs/>
        </w:rPr>
        <w:t xml:space="preserve"> </w:t>
      </w:r>
      <w:r w:rsidR="000569F8">
        <w:rPr>
          <w:i/>
          <w:iCs/>
        </w:rPr>
        <w:t xml:space="preserve">Flow cytometry analysis of </w:t>
      </w:r>
      <w:r w:rsidR="000F2490">
        <w:rPr>
          <w:i/>
          <w:iCs/>
        </w:rPr>
        <w:t>bacteria harbouring colE1, D4.I and D4.II</w:t>
      </w:r>
      <w:r w:rsidR="00CD6983">
        <w:rPr>
          <w:i/>
          <w:iCs/>
        </w:rPr>
        <w:t xml:space="preserve"> origins after overnight growth</w:t>
      </w:r>
      <w:r w:rsidR="00F97DDF">
        <w:rPr>
          <w:i/>
          <w:iCs/>
        </w:rPr>
        <w:t xml:space="preserve"> in the absence of any antibiotic selection</w:t>
      </w:r>
      <w:r w:rsidR="00A01F86">
        <w:rPr>
          <w:i/>
          <w:iCs/>
        </w:rPr>
        <w:t xml:space="preserve">. </w:t>
      </w:r>
      <w:r w:rsidR="00035766">
        <w:rPr>
          <w:i/>
          <w:iCs/>
        </w:rPr>
        <w:t>Cells expressing both GFP and mApple are gated</w:t>
      </w:r>
      <w:r w:rsidR="002618B7">
        <w:rPr>
          <w:i/>
          <w:iCs/>
        </w:rPr>
        <w:t xml:space="preserve"> (orange box)</w:t>
      </w:r>
      <w:r w:rsidR="00035766">
        <w:rPr>
          <w:i/>
          <w:iCs/>
        </w:rPr>
        <w:t xml:space="preserve"> and checked for BFP expression</w:t>
      </w:r>
      <w:r w:rsidR="002618B7">
        <w:rPr>
          <w:i/>
          <w:iCs/>
        </w:rPr>
        <w:t xml:space="preserve"> (inset dot plot). Histograms of individual channels</w:t>
      </w:r>
      <w:r w:rsidR="00AE1DE9">
        <w:rPr>
          <w:i/>
          <w:iCs/>
        </w:rPr>
        <w:t xml:space="preserve"> (without gating)</w:t>
      </w:r>
      <w:r w:rsidR="002618B7">
        <w:rPr>
          <w:i/>
          <w:iCs/>
        </w:rPr>
        <w:t xml:space="preserve"> are </w:t>
      </w:r>
      <w:r w:rsidR="00AE1DE9">
        <w:rPr>
          <w:i/>
          <w:iCs/>
        </w:rPr>
        <w:t xml:space="preserve">shown. </w:t>
      </w:r>
      <w:r w:rsidR="00AE1DE9">
        <w:rPr>
          <w:b/>
          <w:bCs/>
          <w:i/>
          <w:iCs/>
        </w:rPr>
        <w:t>C.</w:t>
      </w:r>
      <w:r w:rsidR="00AE1DE9">
        <w:rPr>
          <w:i/>
          <w:iCs/>
        </w:rPr>
        <w:t xml:space="preserve"> Flow cytometry results are summarized </w:t>
      </w:r>
      <w:r w:rsidR="00EF3D89">
        <w:rPr>
          <w:i/>
          <w:iCs/>
        </w:rPr>
        <w:t xml:space="preserve">in the </w:t>
      </w:r>
      <w:r w:rsidR="00841ADA">
        <w:rPr>
          <w:i/>
          <w:iCs/>
        </w:rPr>
        <w:t>V</w:t>
      </w:r>
      <w:r w:rsidR="00EF3D89">
        <w:rPr>
          <w:i/>
          <w:iCs/>
        </w:rPr>
        <w:t xml:space="preserve">enn </w:t>
      </w:r>
      <w:r w:rsidR="009E19D6">
        <w:rPr>
          <w:i/>
          <w:iCs/>
        </w:rPr>
        <w:t>diagrams</w:t>
      </w:r>
      <w:r w:rsidR="00C7189B">
        <w:rPr>
          <w:i/>
          <w:iCs/>
        </w:rPr>
        <w:t>, showing all populations above 2% of the population. For the colE1, D4.I and D4.II combination</w:t>
      </w:r>
      <w:r w:rsidR="00060FC1">
        <w:rPr>
          <w:i/>
          <w:iCs/>
        </w:rPr>
        <w:t xml:space="preserve">, even in the absence of </w:t>
      </w:r>
      <w:r w:rsidR="001A0E87">
        <w:rPr>
          <w:i/>
          <w:iCs/>
        </w:rPr>
        <w:t>antibiotics, all plasmids remained stably in the ce</w:t>
      </w:r>
      <w:r w:rsidR="006004B2">
        <w:rPr>
          <w:i/>
          <w:iCs/>
        </w:rPr>
        <w:t xml:space="preserve">lls in contrast to the two-plasmid </w:t>
      </w:r>
      <w:r w:rsidR="00140459">
        <w:rPr>
          <w:i/>
          <w:iCs/>
        </w:rPr>
        <w:t>cross-compatibility assays.</w:t>
      </w:r>
    </w:p>
    <w:p w14:paraId="4CC42391" w14:textId="77777777" w:rsidR="007E26B4" w:rsidRPr="002C3A2A" w:rsidRDefault="007E26B4" w:rsidP="0003338E">
      <w:pPr>
        <w:spacing w:line="360" w:lineRule="auto"/>
        <w:jc w:val="both"/>
        <w:rPr>
          <w:i/>
          <w:iCs/>
          <w:color w:val="5B9BD5" w:themeColor="accent5"/>
          <w:sz w:val="24"/>
          <w:szCs w:val="24"/>
        </w:rPr>
      </w:pPr>
    </w:p>
    <w:p w14:paraId="2F875A22" w14:textId="10E9DF1D" w:rsidR="004D4C85" w:rsidRDefault="004F62BD">
      <w:pPr>
        <w:spacing w:line="360" w:lineRule="auto"/>
        <w:jc w:val="both"/>
        <w:rPr>
          <w:sz w:val="24"/>
          <w:szCs w:val="24"/>
        </w:rPr>
      </w:pPr>
      <w:r>
        <w:rPr>
          <w:sz w:val="24"/>
          <w:szCs w:val="24"/>
        </w:rPr>
        <w:t xml:space="preserve">Based on the </w:t>
      </w:r>
      <w:r w:rsidR="00D87A88">
        <w:rPr>
          <w:sz w:val="24"/>
          <w:szCs w:val="24"/>
        </w:rPr>
        <w:t xml:space="preserve">cross-compatibility assays shown in </w:t>
      </w:r>
      <w:r w:rsidR="00D87A88" w:rsidRPr="00D87A88">
        <w:rPr>
          <w:b/>
          <w:bCs/>
          <w:sz w:val="24"/>
          <w:szCs w:val="24"/>
        </w:rPr>
        <w:t>Figure 4</w:t>
      </w:r>
      <w:r w:rsidR="00D87A88">
        <w:rPr>
          <w:sz w:val="24"/>
          <w:szCs w:val="24"/>
        </w:rPr>
        <w:t>, we selected two combinations we expected to be compatible (colE1</w:t>
      </w:r>
      <w:r w:rsidR="00B07B4A">
        <w:rPr>
          <w:sz w:val="24"/>
          <w:szCs w:val="24"/>
        </w:rPr>
        <w:t xml:space="preserve">/D4.I/D4.II and colE1/G6/D4.II) and one </w:t>
      </w:r>
      <w:r w:rsidR="005331A5">
        <w:rPr>
          <w:sz w:val="24"/>
          <w:szCs w:val="24"/>
        </w:rPr>
        <w:t>that</w:t>
      </w:r>
      <w:r w:rsidR="00B07B4A">
        <w:rPr>
          <w:sz w:val="24"/>
          <w:szCs w:val="24"/>
        </w:rPr>
        <w:t xml:space="preserve"> should remain compatible</w:t>
      </w:r>
      <w:r w:rsidR="005331A5">
        <w:rPr>
          <w:sz w:val="24"/>
          <w:szCs w:val="24"/>
        </w:rPr>
        <w:t xml:space="preserve"> under partial selection</w:t>
      </w:r>
      <w:r w:rsidR="00B07B4A">
        <w:rPr>
          <w:sz w:val="24"/>
          <w:szCs w:val="24"/>
        </w:rPr>
        <w:t xml:space="preserve"> (colE1/D4.I/D4.II)</w:t>
      </w:r>
      <w:r w:rsidR="00AB2222">
        <w:rPr>
          <w:sz w:val="24"/>
          <w:szCs w:val="24"/>
        </w:rPr>
        <w:t xml:space="preserve"> for characterising their intercompatibility. </w:t>
      </w:r>
      <w:r w:rsidR="00934651">
        <w:rPr>
          <w:sz w:val="24"/>
          <w:szCs w:val="24"/>
        </w:rPr>
        <w:t xml:space="preserve">While plasmid loss was, to some degree, expected in all combinations after </w:t>
      </w:r>
      <w:r w:rsidR="00057BE9">
        <w:rPr>
          <w:sz w:val="24"/>
          <w:szCs w:val="24"/>
        </w:rPr>
        <w:t>four</w:t>
      </w:r>
      <w:r w:rsidR="00934651">
        <w:rPr>
          <w:sz w:val="24"/>
          <w:szCs w:val="24"/>
        </w:rPr>
        <w:t xml:space="preserve"> days of serial cultures in M9 medium, </w:t>
      </w:r>
      <w:r w:rsidR="00941CC9">
        <w:rPr>
          <w:sz w:val="24"/>
          <w:szCs w:val="24"/>
        </w:rPr>
        <w:t xml:space="preserve">the extent of the plasmid loss differed greatly between the combinations. </w:t>
      </w:r>
      <w:r w:rsidR="00B5095F">
        <w:rPr>
          <w:sz w:val="24"/>
          <w:szCs w:val="24"/>
        </w:rPr>
        <w:t>D4.I</w:t>
      </w:r>
      <w:r w:rsidR="004D0755">
        <w:rPr>
          <w:sz w:val="24"/>
          <w:szCs w:val="24"/>
        </w:rPr>
        <w:t xml:space="preserve"> show</w:t>
      </w:r>
      <w:r w:rsidR="00941CC9">
        <w:rPr>
          <w:sz w:val="24"/>
          <w:szCs w:val="24"/>
        </w:rPr>
        <w:t>ed</w:t>
      </w:r>
      <w:r w:rsidR="004D0755">
        <w:rPr>
          <w:sz w:val="24"/>
          <w:szCs w:val="24"/>
        </w:rPr>
        <w:t xml:space="preserve"> the smallest plasmid loss (</w:t>
      </w:r>
      <w:r w:rsidR="00FE1FFA">
        <w:rPr>
          <w:sz w:val="24"/>
          <w:szCs w:val="24"/>
        </w:rPr>
        <w:t>7% in the absence of any antibiotics</w:t>
      </w:r>
      <w:r w:rsidR="00F476D5">
        <w:rPr>
          <w:sz w:val="24"/>
          <w:szCs w:val="24"/>
        </w:rPr>
        <w:t>) and G4 origin the highest (</w:t>
      </w:r>
      <w:r w:rsidR="00DC1391">
        <w:rPr>
          <w:sz w:val="24"/>
          <w:szCs w:val="24"/>
        </w:rPr>
        <w:t>40% even when all antibiotics were present</w:t>
      </w:r>
      <w:r w:rsidR="00F476D5">
        <w:rPr>
          <w:sz w:val="24"/>
          <w:szCs w:val="24"/>
        </w:rPr>
        <w:t>)</w:t>
      </w:r>
      <w:r w:rsidR="00DC1391">
        <w:rPr>
          <w:sz w:val="24"/>
          <w:szCs w:val="24"/>
        </w:rPr>
        <w:t xml:space="preserve"> </w:t>
      </w:r>
      <w:r w:rsidR="00DA365B">
        <w:rPr>
          <w:sz w:val="24"/>
          <w:szCs w:val="24"/>
        </w:rPr>
        <w:t>–</w:t>
      </w:r>
      <w:r w:rsidR="00DC1391">
        <w:rPr>
          <w:sz w:val="24"/>
          <w:szCs w:val="24"/>
        </w:rPr>
        <w:t xml:space="preserve"> </w:t>
      </w:r>
      <w:r w:rsidR="00DA365B">
        <w:rPr>
          <w:sz w:val="24"/>
          <w:szCs w:val="24"/>
        </w:rPr>
        <w:t xml:space="preserve">see </w:t>
      </w:r>
      <w:r w:rsidR="00DA365B" w:rsidRPr="00DA365B">
        <w:rPr>
          <w:b/>
          <w:bCs/>
          <w:sz w:val="24"/>
          <w:szCs w:val="24"/>
        </w:rPr>
        <w:t>SI Fig. 8</w:t>
      </w:r>
      <w:r w:rsidR="00C503C8">
        <w:rPr>
          <w:b/>
          <w:bCs/>
          <w:sz w:val="24"/>
          <w:szCs w:val="24"/>
        </w:rPr>
        <w:t xml:space="preserve"> </w:t>
      </w:r>
      <w:r w:rsidR="00C503C8" w:rsidRPr="00C503C8">
        <w:rPr>
          <w:sz w:val="24"/>
          <w:szCs w:val="24"/>
        </w:rPr>
        <w:t>and</w:t>
      </w:r>
      <w:r w:rsidR="00C503C8">
        <w:rPr>
          <w:b/>
          <w:bCs/>
          <w:sz w:val="24"/>
          <w:szCs w:val="24"/>
        </w:rPr>
        <w:t xml:space="preserve"> SI Fig. 9</w:t>
      </w:r>
      <w:r w:rsidR="00F476D5">
        <w:rPr>
          <w:sz w:val="24"/>
          <w:szCs w:val="24"/>
        </w:rPr>
        <w:t xml:space="preserve">. </w:t>
      </w:r>
      <w:r w:rsidR="009A67EB">
        <w:rPr>
          <w:sz w:val="24"/>
          <w:szCs w:val="24"/>
        </w:rPr>
        <w:t>In most circumstances, plasmids with lower copy number per cell were lost</w:t>
      </w:r>
      <w:r w:rsidR="00F821E4">
        <w:rPr>
          <w:sz w:val="24"/>
          <w:szCs w:val="24"/>
        </w:rPr>
        <w:t xml:space="preserve">, as it would be expected from </w:t>
      </w:r>
      <w:r w:rsidR="002F4F33">
        <w:rPr>
          <w:sz w:val="24"/>
          <w:szCs w:val="24"/>
        </w:rPr>
        <w:t>a</w:t>
      </w:r>
      <w:r w:rsidR="00F821E4">
        <w:rPr>
          <w:sz w:val="24"/>
          <w:szCs w:val="24"/>
        </w:rPr>
        <w:t xml:space="preserve"> plasmid stochastic segregation process.</w:t>
      </w:r>
      <w:r w:rsidR="002F4F33">
        <w:rPr>
          <w:sz w:val="24"/>
          <w:szCs w:val="24"/>
        </w:rPr>
        <w:t xml:space="preserve"> One notable exception was seen </w:t>
      </w:r>
      <w:r w:rsidR="00F63D80">
        <w:rPr>
          <w:sz w:val="24"/>
          <w:szCs w:val="24"/>
        </w:rPr>
        <w:t>between D4</w:t>
      </w:r>
      <w:r w:rsidR="003F46E6">
        <w:rPr>
          <w:sz w:val="24"/>
          <w:szCs w:val="24"/>
        </w:rPr>
        <w:t>.I</w:t>
      </w:r>
      <w:r w:rsidR="00F63D80">
        <w:rPr>
          <w:sz w:val="24"/>
          <w:szCs w:val="24"/>
        </w:rPr>
        <w:t xml:space="preserve"> and wild-type</w:t>
      </w:r>
      <w:r w:rsidR="002F4F33">
        <w:rPr>
          <w:sz w:val="24"/>
          <w:szCs w:val="24"/>
        </w:rPr>
        <w:t xml:space="preserve"> (when </w:t>
      </w:r>
      <w:r w:rsidR="00660AFF">
        <w:rPr>
          <w:sz w:val="24"/>
          <w:szCs w:val="24"/>
        </w:rPr>
        <w:t xml:space="preserve">chloramphenicol selection was maintained – </w:t>
      </w:r>
      <w:r w:rsidR="00660AFF" w:rsidRPr="00660AFF">
        <w:rPr>
          <w:b/>
          <w:bCs/>
          <w:sz w:val="24"/>
          <w:szCs w:val="24"/>
        </w:rPr>
        <w:t>SI Fig. 9</w:t>
      </w:r>
      <w:r w:rsidR="00660AFF">
        <w:rPr>
          <w:sz w:val="24"/>
          <w:szCs w:val="24"/>
        </w:rPr>
        <w:t>)</w:t>
      </w:r>
      <w:r w:rsidR="00A54C02">
        <w:rPr>
          <w:sz w:val="24"/>
          <w:szCs w:val="24"/>
        </w:rPr>
        <w:t xml:space="preserve"> – where wild-type is preferentially lost despite a higher copy number – a </w:t>
      </w:r>
      <w:r w:rsidR="00B85B7E">
        <w:rPr>
          <w:sz w:val="24"/>
          <w:szCs w:val="24"/>
        </w:rPr>
        <w:t>result of more complex interactions in the regulation of the copy number of the wild-type colE1 plasmid</w:t>
      </w:r>
      <w:r w:rsidR="00796A67">
        <w:rPr>
          <w:sz w:val="24"/>
          <w:szCs w:val="24"/>
        </w:rPr>
        <w:t>, such as interaction with uncharged tRNAs</w:t>
      </w:r>
      <w:r w:rsidR="00AD27E7">
        <w:rPr>
          <w:sz w:val="24"/>
          <w:szCs w:val="24"/>
        </w:rPr>
        <w:fldChar w:fldCharType="begin" w:fldLock="1"/>
      </w:r>
      <w:r w:rsidR="00855FBA">
        <w:rPr>
          <w:sz w:val="24"/>
          <w:szCs w:val="24"/>
        </w:rPr>
        <w:instrText>ADDIN CSL_CITATION {"citationItems":[{"id":"ITEM-1","itemData":{"DOI":"10.1006/plas.1997.1319","ISSN":"0147619X","PMID":"9473446","abstract":"Differential replication of various ColE1-type plasmids in stringent (relA+) and relaxed (relA-) strains of Escherichia coli starved for particular amino acids was reported previously. A role for the plasmid- encoded Rom protein in the stringent control of ColE1 replication has also been demonstrated. Here we have studied the efficiency of replication of five ColE1-type plasmids in E. coli relA+ and relA- strains starved for five amino acids to find the differential replication of each plasmid in cells starved for each amino acid. The efficiency of replication was found to be in positive correlation with the homology between nucleotide sequences of particular loops of RNA I or RNA II and anticodon loops of tRNA molecules corresponding to the kind of the amino acid deprived. Efficient plasmid DNA replication was observed under conditions for which we predicted (on the basis of theoretical calculations) relatively strong interactions between tRNA molecules, expected to occur in high concentrations in an uncharged form, and RNA I or RNA II. When the theoretical possibility of the tRNA-RNA I or tRNA-RNA II interactions was very small, the observed plasmid DNA replication was negligible. Replication of ColE1-like plasmids during the stringent response was observed only in the absence of a functional rom gene. We observed plasmid replication in the amino acid-starved pcnB relA double mutant. We propose a model for regulation of ColE1 replication in the amino acid-starved E. coil cells based on interactions between uncharged tRNA molecules and RNA I or RNA II. During starvation for different amino acids, different kinds of uncharged tRNA molecules appear in cells (they are much more abundant, however, in relA- mutants than in relA+ hosts) leading to various efficiencies of replication initiation. The Rom protein may modulate the effect of tRNA(s) by enhancing RNAI-RNA II, but not tRNA-RNA I and tRNA- RNA II, interactions.","author":[{"dropping-particle":"","family":"Wróbel","given":"Borys","non-dropping-particle":"","parse-names":false,"suffix":""},{"dropping-particle":"","family":"Wȩ","given":"Grzegorz","non-dropping-particle":"","parse-names":false,"suffix":""}],"container-title":"Plasmid","id":"ITEM-1","issue":"1","issued":{"date-parts":[["1998","1"]]},"page":"48-62","publisher":"Plasmid","title":"Replication Regulation of ColE1-like Plasmids in Amino Acid-StarvedEscherichia coli","type":"article-journal","volume":"39"},"uris":["http://www.mendeley.com/documents/?uuid=908492b2-d1f6-3d1c-8885-55f5db4f5066"]}],"mendeley":{"formattedCitation":"(48)","plainTextFormattedCitation":"(48)","previouslyFormattedCitation":"[48]"},"properties":{"noteIndex":0},"schema":"https://github.com/citation-style-language/schema/raw/master/csl-citation.json"}</w:instrText>
      </w:r>
      <w:r w:rsidR="00AD27E7">
        <w:rPr>
          <w:sz w:val="24"/>
          <w:szCs w:val="24"/>
        </w:rPr>
        <w:fldChar w:fldCharType="separate"/>
      </w:r>
      <w:r w:rsidR="00855FBA" w:rsidRPr="00855FBA">
        <w:rPr>
          <w:noProof/>
          <w:sz w:val="24"/>
          <w:szCs w:val="24"/>
        </w:rPr>
        <w:t>(48)</w:t>
      </w:r>
      <w:r w:rsidR="00AD27E7">
        <w:rPr>
          <w:sz w:val="24"/>
          <w:szCs w:val="24"/>
        </w:rPr>
        <w:fldChar w:fldCharType="end"/>
      </w:r>
      <w:r w:rsidR="007450E0">
        <w:rPr>
          <w:sz w:val="24"/>
          <w:szCs w:val="24"/>
        </w:rPr>
        <w:t xml:space="preserve">. </w:t>
      </w:r>
      <w:r w:rsidR="00221FE9">
        <w:rPr>
          <w:sz w:val="24"/>
          <w:szCs w:val="24"/>
        </w:rPr>
        <w:t xml:space="preserve">Still, </w:t>
      </w:r>
      <w:r w:rsidR="007450E0">
        <w:rPr>
          <w:sz w:val="24"/>
          <w:szCs w:val="24"/>
        </w:rPr>
        <w:t>the experiments confirm that pairwise cross-complementarity is not an accurate measure for higher order inter-complementarity between different origins of replication.</w:t>
      </w:r>
    </w:p>
    <w:p w14:paraId="7E794643" w14:textId="3A64FCD1" w:rsidR="004D4C85" w:rsidRPr="0049422F" w:rsidRDefault="0049422F">
      <w:pPr>
        <w:spacing w:line="360" w:lineRule="auto"/>
        <w:jc w:val="both"/>
        <w:rPr>
          <w:b/>
          <w:bCs/>
          <w:sz w:val="24"/>
          <w:szCs w:val="24"/>
        </w:rPr>
      </w:pPr>
      <w:r w:rsidRPr="0049422F">
        <w:rPr>
          <w:b/>
          <w:bCs/>
          <w:sz w:val="24"/>
          <w:szCs w:val="24"/>
        </w:rPr>
        <w:t>Discussion and Conclusions</w:t>
      </w:r>
    </w:p>
    <w:p w14:paraId="43D97E79" w14:textId="56240864" w:rsidR="008056B2" w:rsidRDefault="00931352">
      <w:pPr>
        <w:spacing w:line="360" w:lineRule="auto"/>
        <w:jc w:val="both"/>
        <w:rPr>
          <w:sz w:val="24"/>
          <w:szCs w:val="24"/>
        </w:rPr>
      </w:pPr>
      <w:r>
        <w:rPr>
          <w:sz w:val="24"/>
          <w:szCs w:val="24"/>
        </w:rPr>
        <w:t xml:space="preserve">Despite good understanding of the colE1 </w:t>
      </w:r>
      <w:r w:rsidR="00C13EC0">
        <w:rPr>
          <w:sz w:val="24"/>
          <w:szCs w:val="24"/>
        </w:rPr>
        <w:t xml:space="preserve">mechanism of </w:t>
      </w:r>
      <w:r>
        <w:rPr>
          <w:sz w:val="24"/>
          <w:szCs w:val="24"/>
        </w:rPr>
        <w:t>replication</w:t>
      </w:r>
      <w:r w:rsidR="0035289D">
        <w:rPr>
          <w:sz w:val="24"/>
          <w:szCs w:val="24"/>
        </w:rPr>
        <w:t xml:space="preserve">, there have been rare attempts at identifying and engineering </w:t>
      </w:r>
      <w:r w:rsidR="004F5894">
        <w:rPr>
          <w:sz w:val="24"/>
          <w:szCs w:val="24"/>
        </w:rPr>
        <w:t xml:space="preserve">colE1 plasmid compatibility, with preference frequently given to the identification of naturally occurring </w:t>
      </w:r>
      <w:r w:rsidR="00C13EC0">
        <w:rPr>
          <w:sz w:val="24"/>
          <w:szCs w:val="24"/>
        </w:rPr>
        <w:t xml:space="preserve">origins that </w:t>
      </w:r>
      <w:r w:rsidR="00B91862">
        <w:rPr>
          <w:sz w:val="24"/>
          <w:szCs w:val="24"/>
        </w:rPr>
        <w:t>can be tested for compatibility against colE1</w:t>
      </w:r>
      <w:r w:rsidR="004F6E3A">
        <w:rPr>
          <w:sz w:val="24"/>
          <w:szCs w:val="24"/>
        </w:rPr>
        <w:t xml:space="preserve">. </w:t>
      </w:r>
      <w:r w:rsidR="00087049">
        <w:rPr>
          <w:sz w:val="24"/>
          <w:szCs w:val="24"/>
        </w:rPr>
        <w:t>Such naturally occurring origins benefit from their evolutionary-scale selection in the environment</w:t>
      </w:r>
      <w:r w:rsidR="005558E4">
        <w:rPr>
          <w:sz w:val="24"/>
          <w:szCs w:val="24"/>
        </w:rPr>
        <w:t xml:space="preserve"> and tend to be highly stable</w:t>
      </w:r>
      <w:r w:rsidR="00D975C3">
        <w:rPr>
          <w:sz w:val="24"/>
          <w:szCs w:val="24"/>
        </w:rPr>
        <w:t>,</w:t>
      </w:r>
      <w:r w:rsidR="00DC4001">
        <w:rPr>
          <w:sz w:val="24"/>
          <w:szCs w:val="24"/>
        </w:rPr>
        <w:t xml:space="preserve"> even in the absence of external selection, </w:t>
      </w:r>
      <w:r w:rsidR="00115FB1">
        <w:rPr>
          <w:sz w:val="24"/>
          <w:szCs w:val="24"/>
        </w:rPr>
        <w:t>through</w:t>
      </w:r>
      <w:r w:rsidR="006E313C">
        <w:rPr>
          <w:sz w:val="24"/>
          <w:szCs w:val="24"/>
        </w:rPr>
        <w:t xml:space="preserve"> symbiotic domestication that minimizes the metabolic cost of plasmid maintenance</w:t>
      </w:r>
      <w:r w:rsidR="000964BF">
        <w:rPr>
          <w:sz w:val="24"/>
          <w:szCs w:val="24"/>
        </w:rPr>
        <w:fldChar w:fldCharType="begin" w:fldLock="1"/>
      </w:r>
      <w:r w:rsidR="00855FBA">
        <w:rPr>
          <w:sz w:val="24"/>
          <w:szCs w:val="24"/>
        </w:rPr>
        <w:instrText>ADDIN CSL_CITATION {"citationItems":[{"id":"ITEM-1","itemData":{"DOI":"10.1038/s41467-019-10600-7","ISSN":"2041-1723","abstract":"Plasmid acquisition is an important mechanism of rapid adaptation and niche expansion in prokaryotes. Positive selection for plasmid-coded functions is a major driver of plasmid evolution, while plasmids that do not confer a selective advantage are considered costly and expected to go extinct. Yet, plasmids are ubiquitous in nature, and their persistence remains an evolutionary paradox. Here, we demonstrate that non-mobile plasmids persist over evolutionary timescales without selection for the plasmid function. Evolving a minimal plasmid encoding for antibiotics resistance in Escherichia coli, we discover that plasmid stability emerges in the absence of antibiotics and that plasmid loss is determined by transcription-replication conflicts. We further find that environmental conditions modulate these conflicts and plasmid persistence. Silencing the transcription of the resistance gene results in stable plasmids that become fixed in the population. Evolution of plasmid stability under non-selective conditions provides an evolutionary explanation for the ubiquity of plasmids in nature. It is expected that plasmids are costly and therefore that selection is required to maintain them within bacterial populations. Here, Wein et al. show that plasmid stability can emerge even in the absence of positive selection and that loss may be determined by transcription-replication conflict.","author":[{"dropping-particle":"","family":"Wein","given":"Tanita","non-dropping-particle":"","parse-names":false,"suffix":""},{"dropping-particle":"","family":"Hülter","given":"Nils F.","non-dropping-particle":"","parse-names":false,"suffix":""},{"dropping-particle":"","family":"Mizrahi","given":"Itzhak","non-dropping-particle":"","parse-names":false,"suffix":""},{"dropping-particle":"","family":"Dagan","given":"Tal","non-dropping-particle":"","parse-names":false,"suffix":""}],"container-title":"Nature Communications","id":"ITEM-1","issue":"1","issued":{"date-parts":[["2019","12","13"]]},"page":"2595","publisher":"Nature Publishing Group","title":"Emergence of plasmid stability under non-selective conditions maintains antibiotic resistance","type":"article-journal","volume":"10"},"uris":["http://www.mendeley.com/documents/?uuid=1c6943f8-3801-3d06-80d5-0e6059bc5654"]},{"id":"ITEM-2","itemData":{"DOI":"10.1016/j.cub.2015.07.006","ISSN":"09609822","abstract":"Plasmids play a key role in bacterial evolution by providing bacteria with new and important functions, such as antibiotic resistance. New research shows how bacterial regulatory evolution can stabilize bacteria-plasmid associations and catalyze evolutionary innovation.","author":[{"dropping-particle":"","family":"MacLean","given":"R. Craig","non-dropping-particle":"","parse-names":false,"suffix":""},{"dropping-particle":"","family":"San Millan","given":"Alvaro","non-dropping-particle":"","parse-names":false,"suffix":""}],"container-title":"Current Biology","id":"ITEM-2","issue":"17","issued":{"date-parts":[["2015","8","31"]]},"page":"R764-R767","publisher":"Cell Press","title":"Microbial Evolution: Towards Resolving the Plasmid Paradox","type":"article-journal","volume":"25"},"uris":["http://www.mendeley.com/documents/?uuid=900d34b8-9f07-304c-b6a1-1c4c5cccb2ef"]}],"mendeley":{"formattedCitation":"(49, 50)","plainTextFormattedCitation":"(49, 50)","previouslyFormattedCitation":"[49,50]"},"properties":{"noteIndex":0},"schema":"https://github.com/citation-style-language/schema/raw/master/csl-citation.json"}</w:instrText>
      </w:r>
      <w:r w:rsidR="000964BF">
        <w:rPr>
          <w:sz w:val="24"/>
          <w:szCs w:val="24"/>
        </w:rPr>
        <w:fldChar w:fldCharType="separate"/>
      </w:r>
      <w:r w:rsidR="00855FBA" w:rsidRPr="00855FBA">
        <w:rPr>
          <w:noProof/>
          <w:sz w:val="24"/>
          <w:szCs w:val="24"/>
        </w:rPr>
        <w:t>(49, 50)</w:t>
      </w:r>
      <w:r w:rsidR="000964BF">
        <w:rPr>
          <w:sz w:val="24"/>
          <w:szCs w:val="24"/>
        </w:rPr>
        <w:fldChar w:fldCharType="end"/>
      </w:r>
      <w:r w:rsidR="008056B2">
        <w:rPr>
          <w:sz w:val="24"/>
          <w:szCs w:val="24"/>
        </w:rPr>
        <w:t xml:space="preserve">. Nonetheless, it is possible to </w:t>
      </w:r>
      <w:r w:rsidR="009B6228">
        <w:rPr>
          <w:sz w:val="24"/>
          <w:szCs w:val="24"/>
        </w:rPr>
        <w:t xml:space="preserve">engineer compatible origins. </w:t>
      </w:r>
    </w:p>
    <w:p w14:paraId="607D7BE3" w14:textId="2E8F0397" w:rsidR="0037673F" w:rsidRDefault="009B6228">
      <w:pPr>
        <w:spacing w:line="360" w:lineRule="auto"/>
        <w:jc w:val="both"/>
        <w:rPr>
          <w:sz w:val="24"/>
          <w:szCs w:val="24"/>
        </w:rPr>
      </w:pPr>
      <w:r>
        <w:rPr>
          <w:sz w:val="24"/>
          <w:szCs w:val="24"/>
        </w:rPr>
        <w:t xml:space="preserve">Our results corroborate </w:t>
      </w:r>
      <w:r w:rsidR="00006566">
        <w:rPr>
          <w:sz w:val="24"/>
          <w:szCs w:val="24"/>
        </w:rPr>
        <w:t xml:space="preserve">previous findings that the loops are an important </w:t>
      </w:r>
      <w:r w:rsidR="00B437E8">
        <w:rPr>
          <w:sz w:val="24"/>
          <w:szCs w:val="24"/>
        </w:rPr>
        <w:t>region to enable plasmid compatibility</w:t>
      </w:r>
      <w:r w:rsidR="00727012">
        <w:rPr>
          <w:sz w:val="24"/>
          <w:szCs w:val="24"/>
        </w:rPr>
        <w:t xml:space="preserve"> and we show that differences in loop sequence are not </w:t>
      </w:r>
      <w:r w:rsidR="00D8683C">
        <w:rPr>
          <w:sz w:val="24"/>
          <w:szCs w:val="24"/>
        </w:rPr>
        <w:t>sufficient</w:t>
      </w:r>
      <w:r w:rsidR="00727012">
        <w:rPr>
          <w:sz w:val="24"/>
          <w:szCs w:val="24"/>
        </w:rPr>
        <w:t xml:space="preserve"> to predict compatibility</w:t>
      </w:r>
      <w:r w:rsidR="00B73974">
        <w:rPr>
          <w:sz w:val="24"/>
          <w:szCs w:val="24"/>
        </w:rPr>
        <w:t xml:space="preserve">. </w:t>
      </w:r>
      <w:r w:rsidR="00B560FD">
        <w:rPr>
          <w:sz w:val="24"/>
          <w:szCs w:val="24"/>
        </w:rPr>
        <w:t>Plasmid maintenance assays in the absence</w:t>
      </w:r>
      <w:r w:rsidR="004F01CB">
        <w:rPr>
          <w:sz w:val="24"/>
          <w:szCs w:val="24"/>
        </w:rPr>
        <w:t xml:space="preserve"> of</w:t>
      </w:r>
      <w:r w:rsidR="00B560FD">
        <w:rPr>
          <w:sz w:val="24"/>
          <w:szCs w:val="24"/>
        </w:rPr>
        <w:t xml:space="preserve"> or under partial selection (as we show here)</w:t>
      </w:r>
      <w:r w:rsidR="00020A3D">
        <w:rPr>
          <w:sz w:val="24"/>
          <w:szCs w:val="24"/>
        </w:rPr>
        <w:t xml:space="preserve"> are an efficient route towards isolating </w:t>
      </w:r>
      <w:r w:rsidR="00B9221A">
        <w:rPr>
          <w:sz w:val="24"/>
          <w:szCs w:val="24"/>
        </w:rPr>
        <w:t>colE1-</w:t>
      </w:r>
      <w:r w:rsidR="00020A3D">
        <w:rPr>
          <w:sz w:val="24"/>
          <w:szCs w:val="24"/>
        </w:rPr>
        <w:t xml:space="preserve">compatible origins </w:t>
      </w:r>
      <w:r w:rsidR="00B9221A">
        <w:rPr>
          <w:sz w:val="24"/>
          <w:szCs w:val="24"/>
        </w:rPr>
        <w:t xml:space="preserve">that remain stable in different metabolic conditions and across a wide-range of </w:t>
      </w:r>
      <w:r w:rsidR="0037673F">
        <w:rPr>
          <w:sz w:val="24"/>
          <w:szCs w:val="24"/>
        </w:rPr>
        <w:t>copy number.</w:t>
      </w:r>
    </w:p>
    <w:p w14:paraId="5784A9A6" w14:textId="38314D77" w:rsidR="00D95BA4" w:rsidRPr="003E7873" w:rsidRDefault="00692B3B">
      <w:pPr>
        <w:spacing w:line="360" w:lineRule="auto"/>
        <w:jc w:val="both"/>
        <w:rPr>
          <w:sz w:val="24"/>
          <w:szCs w:val="24"/>
        </w:rPr>
      </w:pPr>
      <w:r>
        <w:rPr>
          <w:sz w:val="24"/>
          <w:szCs w:val="24"/>
        </w:rPr>
        <w:lastRenderedPageBreak/>
        <w:t>Analysis of the predicted RNAI origins suggest</w:t>
      </w:r>
      <w:r w:rsidR="00194A96">
        <w:rPr>
          <w:sz w:val="24"/>
          <w:szCs w:val="24"/>
        </w:rPr>
        <w:t>s</w:t>
      </w:r>
      <w:r>
        <w:rPr>
          <w:sz w:val="24"/>
          <w:szCs w:val="24"/>
        </w:rPr>
        <w:t xml:space="preserve"> a potentially novel route towards regulation of plasmid copy number</w:t>
      </w:r>
      <w:r w:rsidR="001528C4">
        <w:rPr>
          <w:sz w:val="24"/>
          <w:szCs w:val="24"/>
        </w:rPr>
        <w:t xml:space="preserve">, in which RNAI loop length show an inverse correlation with </w:t>
      </w:r>
      <w:r w:rsidR="00676512">
        <w:rPr>
          <w:sz w:val="24"/>
          <w:szCs w:val="24"/>
        </w:rPr>
        <w:t xml:space="preserve">the estimated </w:t>
      </w:r>
      <w:r w:rsidR="001528C4">
        <w:rPr>
          <w:sz w:val="24"/>
          <w:szCs w:val="24"/>
        </w:rPr>
        <w:t>plasmid copy num</w:t>
      </w:r>
      <w:r w:rsidR="00676512">
        <w:rPr>
          <w:sz w:val="24"/>
          <w:szCs w:val="24"/>
        </w:rPr>
        <w:t>bers per cell (</w:t>
      </w:r>
      <w:r w:rsidR="00186F9E">
        <w:rPr>
          <w:b/>
          <w:bCs/>
          <w:sz w:val="24"/>
          <w:szCs w:val="24"/>
        </w:rPr>
        <w:t>Figure 4</w:t>
      </w:r>
      <w:r w:rsidR="00676512">
        <w:rPr>
          <w:sz w:val="24"/>
          <w:szCs w:val="24"/>
        </w:rPr>
        <w:t xml:space="preserve">). </w:t>
      </w:r>
      <w:r w:rsidR="003E7873">
        <w:rPr>
          <w:sz w:val="24"/>
          <w:szCs w:val="24"/>
        </w:rPr>
        <w:t xml:space="preserve">This strategy, if further validated, is independent of other colE1 plasmid-based mechanisms (e.g. </w:t>
      </w:r>
      <w:r w:rsidR="003E7873">
        <w:rPr>
          <w:i/>
          <w:iCs/>
          <w:sz w:val="24"/>
          <w:szCs w:val="24"/>
        </w:rPr>
        <w:t>cer</w:t>
      </w:r>
      <w:r w:rsidR="003E7873">
        <w:rPr>
          <w:sz w:val="24"/>
          <w:szCs w:val="24"/>
        </w:rPr>
        <w:t xml:space="preserve"> and </w:t>
      </w:r>
      <w:r w:rsidR="003E7873">
        <w:rPr>
          <w:i/>
          <w:iCs/>
          <w:sz w:val="24"/>
          <w:szCs w:val="24"/>
        </w:rPr>
        <w:t>rop</w:t>
      </w:r>
      <w:r w:rsidR="003E7873">
        <w:rPr>
          <w:sz w:val="24"/>
          <w:szCs w:val="24"/>
        </w:rPr>
        <w:t>)</w:t>
      </w:r>
      <w:r w:rsidR="00C2444D">
        <w:rPr>
          <w:sz w:val="24"/>
          <w:szCs w:val="24"/>
        </w:rPr>
        <w:t>, since those were not present in the plasmids used here.</w:t>
      </w:r>
    </w:p>
    <w:p w14:paraId="0182196B" w14:textId="77777777" w:rsidR="00F76544" w:rsidRDefault="008A405E">
      <w:pPr>
        <w:spacing w:line="360" w:lineRule="auto"/>
        <w:jc w:val="both"/>
        <w:rPr>
          <w:sz w:val="24"/>
          <w:szCs w:val="24"/>
        </w:rPr>
      </w:pPr>
      <w:r>
        <w:rPr>
          <w:sz w:val="24"/>
          <w:szCs w:val="24"/>
        </w:rPr>
        <w:t xml:space="preserve">Moreover, we show that pairwise compatibility assays are not sufficient </w:t>
      </w:r>
      <w:r w:rsidR="00D26513">
        <w:rPr>
          <w:sz w:val="24"/>
          <w:szCs w:val="24"/>
        </w:rPr>
        <w:t xml:space="preserve">to predict higher order plasmid compatibility. While the latter is </w:t>
      </w:r>
      <w:r w:rsidR="00E271BD">
        <w:rPr>
          <w:sz w:val="24"/>
          <w:szCs w:val="24"/>
        </w:rPr>
        <w:t>hypothesised to be a consequence of the differences in plasmid copy number</w:t>
      </w:r>
      <w:r w:rsidR="00332D9D">
        <w:rPr>
          <w:sz w:val="24"/>
          <w:szCs w:val="24"/>
        </w:rPr>
        <w:t xml:space="preserve">, copy number is not sufficient to explain </w:t>
      </w:r>
      <w:r w:rsidR="003C02EC">
        <w:rPr>
          <w:sz w:val="24"/>
          <w:szCs w:val="24"/>
        </w:rPr>
        <w:t>the pairwise compatibility results between origins that had not been co-selected for compatibility.</w:t>
      </w:r>
    </w:p>
    <w:p w14:paraId="7D3A1AE2" w14:textId="4E184A76" w:rsidR="00CC3DB6" w:rsidRDefault="00F76544">
      <w:pPr>
        <w:spacing w:line="360" w:lineRule="auto"/>
        <w:jc w:val="both"/>
        <w:rPr>
          <w:sz w:val="24"/>
          <w:szCs w:val="24"/>
        </w:rPr>
      </w:pPr>
      <w:r>
        <w:rPr>
          <w:sz w:val="24"/>
          <w:szCs w:val="24"/>
        </w:rPr>
        <w:t>Plasmid compatibility has many parallels to biological orthogonality</w:t>
      </w:r>
      <w:r w:rsidR="00592B5A">
        <w:rPr>
          <w:sz w:val="24"/>
          <w:szCs w:val="24"/>
        </w:rPr>
        <w:t xml:space="preserve"> discussed in synthetic biology</w:t>
      </w:r>
      <w:r w:rsidR="005C5136">
        <w:rPr>
          <w:sz w:val="24"/>
          <w:szCs w:val="24"/>
        </w:rPr>
        <w:fldChar w:fldCharType="begin" w:fldLock="1"/>
      </w:r>
      <w:r w:rsidR="00855FBA">
        <w:rPr>
          <w:sz w:val="24"/>
          <w:szCs w:val="24"/>
        </w:rPr>
        <w:instrText>ADDIN CSL_CITATION {"citationItems":[{"id":"ITEM-1","itemData":{"DOI":"10.1038/nchembio.2554","ISSN":"1552-4450","abstract":"The central dogma processes of DNA replication, transcription, and translation are responsible for the maintenance and expression of every gene in an organism. An orthogonal central dogma may insulate genetic programs from host regulation and allow expansion of the roles of these processes within the cell.","author":[{"dropping-particle":"","family":"Liu","given":"Chang C","non-dropping-particle":"","parse-names":false,"suffix":""},{"dropping-particle":"","family":"Jewett","given":"Michael C","non-dropping-particle":"","parse-names":false,"suffix":""},{"dropping-particle":"","family":"Chin","given":"Jason W","non-dropping-particle":"","parse-names":false,"suffix":""},{"dropping-particle":"","family":"Voigt","given":"Chris A","non-dropping-particle":"","parse-names":false,"suffix":""}],"container-title":"Nature Chemical Biology","id":"ITEM-1","issue":"2","issued":{"date-parts":[["2018","2","16"]]},"page":"103-106","publisher":"Nature Publishing Group","title":"Toward an orthogonal central dogma","type":"article-journal","volume":"14"},"uris":["http://www.mendeley.com/documents/?uuid=6f5ae0ec-50f9-3ba9-ae29-3f18335dd338"]},{"id":"ITEM-2","itemData":{"DOI":"10.4161/bbug.2.1.13388","ISSN":"1949-1018","abstract":"Every descriptive language is not only metaphoric and interpretative, but it is also developed (or adopted) ad hoc to fulfill a certain agenda.","author":[{"dropping-particle":"","family":"Lorenzo","given":"Víctor","non-dropping-particle":"de","parse-names":false,"suffix":""}],"container-title":"Bioengineered Bugs","id":"ITEM-2","issue":"1","issued":{"date-parts":[["2011","1","21"]]},"page":"3-7","publisher":"Taylor &amp; Francis","title":"Beware of metaphors: Chasses and orthogonality in synthetic biology","type":"article-journal","volume":"2"},"uris":["http://www.mendeley.com/documents/?uuid=592ea7aa-1791-3084-ac0e-90098284e27a"]}],"mendeley":{"formattedCitation":"(51, 52)","plainTextFormattedCitation":"(51, 52)","previouslyFormattedCitation":"[51,52]"},"properties":{"noteIndex":0},"schema":"https://github.com/citation-style-language/schema/raw/master/csl-citation.json"}</w:instrText>
      </w:r>
      <w:r w:rsidR="005C5136">
        <w:rPr>
          <w:sz w:val="24"/>
          <w:szCs w:val="24"/>
        </w:rPr>
        <w:fldChar w:fldCharType="separate"/>
      </w:r>
      <w:r w:rsidR="00855FBA" w:rsidRPr="00855FBA">
        <w:rPr>
          <w:noProof/>
          <w:sz w:val="24"/>
          <w:szCs w:val="24"/>
        </w:rPr>
        <w:t>(51, 52)</w:t>
      </w:r>
      <w:r w:rsidR="005C5136">
        <w:rPr>
          <w:sz w:val="24"/>
          <w:szCs w:val="24"/>
        </w:rPr>
        <w:fldChar w:fldCharType="end"/>
      </w:r>
      <w:r w:rsidR="003A2745">
        <w:rPr>
          <w:sz w:val="24"/>
          <w:szCs w:val="24"/>
        </w:rPr>
        <w:t xml:space="preserve">, where two biological systems need to co-exist </w:t>
      </w:r>
      <w:r w:rsidR="003A2745">
        <w:rPr>
          <w:i/>
          <w:iCs/>
          <w:sz w:val="24"/>
          <w:szCs w:val="24"/>
        </w:rPr>
        <w:t>in vivo</w:t>
      </w:r>
      <w:r w:rsidR="003A2745">
        <w:rPr>
          <w:sz w:val="24"/>
          <w:szCs w:val="24"/>
        </w:rPr>
        <w:t xml:space="preserve"> without significant interaction</w:t>
      </w:r>
      <w:r w:rsidR="003F5B27">
        <w:rPr>
          <w:sz w:val="24"/>
          <w:szCs w:val="24"/>
        </w:rPr>
        <w:t xml:space="preserve">. We propose, in fact, that it can be used as a model to </w:t>
      </w:r>
      <w:r w:rsidR="003E666B">
        <w:rPr>
          <w:sz w:val="24"/>
          <w:szCs w:val="24"/>
        </w:rPr>
        <w:t>improve the concept of orthogonality, since plasmid orthogonality is nuanced</w:t>
      </w:r>
      <w:r w:rsidR="00CC3DB6">
        <w:rPr>
          <w:sz w:val="24"/>
          <w:szCs w:val="24"/>
        </w:rPr>
        <w:t xml:space="preserve">: </w:t>
      </w:r>
      <w:r w:rsidR="004344C4">
        <w:rPr>
          <w:sz w:val="24"/>
          <w:szCs w:val="24"/>
        </w:rPr>
        <w:t xml:space="preserve">operating on a scale rather than in absolutes, affected by experimental conditions and </w:t>
      </w:r>
      <w:r w:rsidR="00386163">
        <w:rPr>
          <w:sz w:val="24"/>
          <w:szCs w:val="24"/>
        </w:rPr>
        <w:t xml:space="preserve">having to operate within the more complex cellular milieu. </w:t>
      </w:r>
    </w:p>
    <w:p w14:paraId="07961DC0" w14:textId="663F8EA9" w:rsidR="00627126" w:rsidRDefault="00D2669A">
      <w:pPr>
        <w:spacing w:line="360" w:lineRule="auto"/>
        <w:jc w:val="both"/>
        <w:rPr>
          <w:sz w:val="24"/>
          <w:szCs w:val="24"/>
        </w:rPr>
      </w:pPr>
      <w:r>
        <w:rPr>
          <w:sz w:val="24"/>
          <w:szCs w:val="24"/>
        </w:rPr>
        <w:t xml:space="preserve">Although </w:t>
      </w:r>
      <w:r w:rsidR="00BD4D7E">
        <w:rPr>
          <w:sz w:val="24"/>
          <w:szCs w:val="24"/>
        </w:rPr>
        <w:t xml:space="preserve">the </w:t>
      </w:r>
      <w:r>
        <w:rPr>
          <w:sz w:val="24"/>
          <w:szCs w:val="24"/>
        </w:rPr>
        <w:t xml:space="preserve">current focus of biomanufacturing </w:t>
      </w:r>
      <w:r w:rsidR="00BD4D7E">
        <w:rPr>
          <w:sz w:val="24"/>
          <w:szCs w:val="24"/>
        </w:rPr>
        <w:t xml:space="preserve">still lies on improving plasmid stability, programmable plasmid compatibility </w:t>
      </w:r>
      <w:r w:rsidR="00666D88">
        <w:rPr>
          <w:sz w:val="24"/>
          <w:szCs w:val="24"/>
        </w:rPr>
        <w:t>can potentially lead to novel applications or to new strategies of biological containment.</w:t>
      </w:r>
      <w:r w:rsidR="00627126">
        <w:rPr>
          <w:sz w:val="24"/>
          <w:szCs w:val="24"/>
        </w:rPr>
        <w:t xml:space="preserve"> </w:t>
      </w:r>
      <w:r w:rsidR="00B87E53">
        <w:rPr>
          <w:sz w:val="24"/>
          <w:szCs w:val="24"/>
        </w:rPr>
        <w:t>Our work is a first step towards bespoke</w:t>
      </w:r>
      <w:r w:rsidR="007B1E30">
        <w:rPr>
          <w:sz w:val="24"/>
          <w:szCs w:val="24"/>
        </w:rPr>
        <w:t xml:space="preserve"> plasmid origins and programmable </w:t>
      </w:r>
      <w:r w:rsidR="00903CB0">
        <w:rPr>
          <w:sz w:val="24"/>
          <w:szCs w:val="24"/>
        </w:rPr>
        <w:t xml:space="preserve">plasmid </w:t>
      </w:r>
      <w:r w:rsidR="007B1E30">
        <w:rPr>
          <w:sz w:val="24"/>
          <w:szCs w:val="24"/>
        </w:rPr>
        <w:t>orthogonality</w:t>
      </w:r>
      <w:r w:rsidR="00903CB0">
        <w:rPr>
          <w:sz w:val="24"/>
          <w:szCs w:val="24"/>
        </w:rPr>
        <w:t>.</w:t>
      </w:r>
    </w:p>
    <w:p w14:paraId="226773D5" w14:textId="0FBA99FA" w:rsidR="00941281" w:rsidRDefault="00941281">
      <w:pPr>
        <w:spacing w:line="360" w:lineRule="auto"/>
        <w:jc w:val="both"/>
        <w:rPr>
          <w:b/>
          <w:bCs/>
          <w:sz w:val="24"/>
          <w:szCs w:val="24"/>
        </w:rPr>
      </w:pPr>
      <w:r w:rsidRPr="00941281">
        <w:rPr>
          <w:b/>
          <w:bCs/>
          <w:sz w:val="24"/>
          <w:szCs w:val="24"/>
        </w:rPr>
        <w:t>Acknowledgements</w:t>
      </w:r>
    </w:p>
    <w:p w14:paraId="04B1B6E8" w14:textId="515F68A1" w:rsidR="00C314E8" w:rsidRPr="00EB4969" w:rsidRDefault="00C314E8">
      <w:pPr>
        <w:spacing w:line="360" w:lineRule="auto"/>
        <w:jc w:val="both"/>
        <w:rPr>
          <w:sz w:val="24"/>
          <w:szCs w:val="24"/>
        </w:rPr>
      </w:pPr>
      <w:r w:rsidRPr="00EB4969">
        <w:rPr>
          <w:sz w:val="24"/>
          <w:szCs w:val="24"/>
        </w:rPr>
        <w:t>VBP</w:t>
      </w:r>
      <w:r w:rsidR="00EB4969" w:rsidRPr="00EB4969">
        <w:rPr>
          <w:sz w:val="24"/>
          <w:szCs w:val="24"/>
        </w:rPr>
        <w:t>, LT and WH</w:t>
      </w:r>
      <w:r w:rsidRPr="00EB4969">
        <w:rPr>
          <w:sz w:val="24"/>
          <w:szCs w:val="24"/>
        </w:rPr>
        <w:t xml:space="preserve"> thank </w:t>
      </w:r>
      <w:r w:rsidR="005F19E3" w:rsidRPr="00EB4969">
        <w:rPr>
          <w:sz w:val="24"/>
          <w:szCs w:val="24"/>
        </w:rPr>
        <w:t>ERASynBio</w:t>
      </w:r>
      <w:r w:rsidR="000730AB" w:rsidRPr="00EB4969">
        <w:rPr>
          <w:sz w:val="24"/>
          <w:szCs w:val="24"/>
        </w:rPr>
        <w:t xml:space="preserve"> (g</w:t>
      </w:r>
      <w:r w:rsidR="00122BE0" w:rsidRPr="00EB4969">
        <w:rPr>
          <w:sz w:val="24"/>
          <w:szCs w:val="24"/>
        </w:rPr>
        <w:t>rant BB/N01023X/1</w:t>
      </w:r>
      <w:r w:rsidR="000730AB" w:rsidRPr="00EB4969">
        <w:rPr>
          <w:sz w:val="24"/>
          <w:szCs w:val="24"/>
        </w:rPr>
        <w:t xml:space="preserve">; </w:t>
      </w:r>
      <w:r w:rsidR="000730AB" w:rsidRPr="00EB4969">
        <w:rPr>
          <w:i/>
          <w:iCs/>
          <w:sz w:val="24"/>
          <w:szCs w:val="24"/>
        </w:rPr>
        <w:t>invivo</w:t>
      </w:r>
      <w:r w:rsidR="000730AB" w:rsidRPr="00EB4969">
        <w:rPr>
          <w:sz w:val="24"/>
          <w:szCs w:val="24"/>
        </w:rPr>
        <w:t>XNA)</w:t>
      </w:r>
      <w:r w:rsidR="0055506D" w:rsidRPr="00EB4969">
        <w:rPr>
          <w:sz w:val="24"/>
          <w:szCs w:val="24"/>
        </w:rPr>
        <w:t>. VBP</w:t>
      </w:r>
      <w:r w:rsidR="00EB4969">
        <w:rPr>
          <w:sz w:val="24"/>
          <w:szCs w:val="24"/>
        </w:rPr>
        <w:t xml:space="preserve"> and ABR thank ERASynBio</w:t>
      </w:r>
      <w:r w:rsidR="00ED33BD">
        <w:rPr>
          <w:sz w:val="24"/>
          <w:szCs w:val="24"/>
        </w:rPr>
        <w:t xml:space="preserve"> (grant </w:t>
      </w:r>
      <w:r w:rsidR="00ED33BD" w:rsidRPr="00ED33BD">
        <w:rPr>
          <w:sz w:val="24"/>
          <w:szCs w:val="24"/>
        </w:rPr>
        <w:t>BB/N010221/1</w:t>
      </w:r>
      <w:r w:rsidR="00ED33BD">
        <w:rPr>
          <w:sz w:val="24"/>
          <w:szCs w:val="24"/>
        </w:rPr>
        <w:t xml:space="preserve">; </w:t>
      </w:r>
      <w:r w:rsidR="00317EFD">
        <w:rPr>
          <w:sz w:val="24"/>
          <w:szCs w:val="24"/>
        </w:rPr>
        <w:t>TNAepisome). VBP and SC thank the Rega Foundation and KU Leuven (grant</w:t>
      </w:r>
      <w:r w:rsidR="00EA15BB">
        <w:rPr>
          <w:sz w:val="24"/>
          <w:szCs w:val="24"/>
        </w:rPr>
        <w:t xml:space="preserve"> </w:t>
      </w:r>
      <w:r w:rsidR="00EA15BB" w:rsidRPr="00EA15BB">
        <w:rPr>
          <w:sz w:val="24"/>
          <w:szCs w:val="24"/>
        </w:rPr>
        <w:t>C14/19/102</w:t>
      </w:r>
      <w:r w:rsidR="009735E0">
        <w:rPr>
          <w:sz w:val="24"/>
          <w:szCs w:val="24"/>
        </w:rPr>
        <w:t>).</w:t>
      </w:r>
    </w:p>
    <w:p w14:paraId="3E8AA160" w14:textId="38ACE4F8" w:rsidR="00E37923" w:rsidRPr="00941281" w:rsidRDefault="00E37923">
      <w:pPr>
        <w:spacing w:line="360" w:lineRule="auto"/>
        <w:jc w:val="both"/>
        <w:rPr>
          <w:b/>
          <w:bCs/>
          <w:sz w:val="24"/>
          <w:szCs w:val="24"/>
        </w:rPr>
      </w:pPr>
      <w:r w:rsidRPr="00941281">
        <w:rPr>
          <w:b/>
          <w:bCs/>
          <w:sz w:val="24"/>
          <w:szCs w:val="24"/>
        </w:rPr>
        <w:t>Contributio</w:t>
      </w:r>
      <w:r w:rsidR="00941281" w:rsidRPr="00941281">
        <w:rPr>
          <w:b/>
          <w:bCs/>
          <w:sz w:val="24"/>
          <w:szCs w:val="24"/>
        </w:rPr>
        <w:t>ns</w:t>
      </w:r>
    </w:p>
    <w:p w14:paraId="6DD9CEEA" w14:textId="7FD351A1" w:rsidR="001E58F4" w:rsidRDefault="00DB6C45">
      <w:pPr>
        <w:spacing w:line="360" w:lineRule="auto"/>
        <w:jc w:val="both"/>
        <w:rPr>
          <w:sz w:val="24"/>
          <w:szCs w:val="24"/>
        </w:rPr>
      </w:pPr>
      <w:r>
        <w:rPr>
          <w:sz w:val="24"/>
          <w:szCs w:val="24"/>
        </w:rPr>
        <w:t>VBP</w:t>
      </w:r>
      <w:r w:rsidR="001A29B3">
        <w:rPr>
          <w:sz w:val="24"/>
          <w:szCs w:val="24"/>
        </w:rPr>
        <w:t>,</w:t>
      </w:r>
      <w:r>
        <w:rPr>
          <w:sz w:val="24"/>
          <w:szCs w:val="24"/>
        </w:rPr>
        <w:t xml:space="preserve"> ES</w:t>
      </w:r>
      <w:r w:rsidR="001A29B3">
        <w:rPr>
          <w:sz w:val="24"/>
          <w:szCs w:val="24"/>
        </w:rPr>
        <w:t xml:space="preserve"> and SC</w:t>
      </w:r>
      <w:r>
        <w:rPr>
          <w:sz w:val="24"/>
          <w:szCs w:val="24"/>
        </w:rPr>
        <w:t xml:space="preserve"> contributed to </w:t>
      </w:r>
      <w:r w:rsidR="002A0842">
        <w:rPr>
          <w:sz w:val="24"/>
          <w:szCs w:val="24"/>
        </w:rPr>
        <w:t xml:space="preserve">the project design. ES </w:t>
      </w:r>
      <w:r w:rsidR="0080094A">
        <w:rPr>
          <w:sz w:val="24"/>
          <w:szCs w:val="24"/>
        </w:rPr>
        <w:t>performed all early large-scale experiment</w:t>
      </w:r>
      <w:r w:rsidR="00F05A4F">
        <w:rPr>
          <w:sz w:val="24"/>
          <w:szCs w:val="24"/>
        </w:rPr>
        <w:t>s,</w:t>
      </w:r>
      <w:r w:rsidR="0080094A">
        <w:rPr>
          <w:sz w:val="24"/>
          <w:szCs w:val="24"/>
        </w:rPr>
        <w:t xml:space="preserve"> initial selections for viability</w:t>
      </w:r>
      <w:r w:rsidR="00490F86">
        <w:rPr>
          <w:sz w:val="24"/>
          <w:szCs w:val="24"/>
        </w:rPr>
        <w:t>.</w:t>
      </w:r>
      <w:r w:rsidR="00F05A4F">
        <w:rPr>
          <w:sz w:val="24"/>
          <w:szCs w:val="24"/>
        </w:rPr>
        <w:t xml:space="preserve"> ES and VBP carried out the NGS analysis.</w:t>
      </w:r>
      <w:r w:rsidR="00490F86">
        <w:rPr>
          <w:sz w:val="24"/>
          <w:szCs w:val="24"/>
        </w:rPr>
        <w:t xml:space="preserve"> </w:t>
      </w:r>
      <w:r w:rsidR="00290DEA">
        <w:rPr>
          <w:sz w:val="24"/>
          <w:szCs w:val="24"/>
        </w:rPr>
        <w:t>VBP designed</w:t>
      </w:r>
      <w:r w:rsidR="00490F86">
        <w:rPr>
          <w:sz w:val="24"/>
          <w:szCs w:val="24"/>
        </w:rPr>
        <w:t>, WH</w:t>
      </w:r>
      <w:r w:rsidR="001870B5">
        <w:rPr>
          <w:sz w:val="24"/>
          <w:szCs w:val="24"/>
        </w:rPr>
        <w:t xml:space="preserve"> and SC</w:t>
      </w:r>
      <w:r w:rsidR="00490F86">
        <w:rPr>
          <w:sz w:val="24"/>
          <w:szCs w:val="24"/>
        </w:rPr>
        <w:t xml:space="preserve"> assembled the required biological circuits, and </w:t>
      </w:r>
      <w:r w:rsidR="002A0842">
        <w:rPr>
          <w:sz w:val="24"/>
          <w:szCs w:val="24"/>
        </w:rPr>
        <w:t>ABR developed</w:t>
      </w:r>
      <w:r w:rsidR="00290DEA">
        <w:rPr>
          <w:sz w:val="24"/>
          <w:szCs w:val="24"/>
        </w:rPr>
        <w:t xml:space="preserve"> and validated</w:t>
      </w:r>
      <w:r w:rsidR="002A0842">
        <w:rPr>
          <w:sz w:val="24"/>
          <w:szCs w:val="24"/>
        </w:rPr>
        <w:t xml:space="preserve"> the </w:t>
      </w:r>
      <w:r w:rsidR="00290DEA">
        <w:rPr>
          <w:sz w:val="24"/>
          <w:szCs w:val="24"/>
        </w:rPr>
        <w:t xml:space="preserve">high-throughput </w:t>
      </w:r>
      <w:r w:rsidR="00490F86">
        <w:rPr>
          <w:sz w:val="24"/>
          <w:szCs w:val="24"/>
        </w:rPr>
        <w:t xml:space="preserve">plasmid compatibility </w:t>
      </w:r>
      <w:r w:rsidR="00290DEA">
        <w:rPr>
          <w:sz w:val="24"/>
          <w:szCs w:val="24"/>
        </w:rPr>
        <w:t>assay</w:t>
      </w:r>
      <w:r w:rsidR="00490F86">
        <w:rPr>
          <w:sz w:val="24"/>
          <w:szCs w:val="24"/>
        </w:rPr>
        <w:t>.</w:t>
      </w:r>
      <w:r w:rsidR="00290DEA">
        <w:rPr>
          <w:sz w:val="24"/>
          <w:szCs w:val="24"/>
        </w:rPr>
        <w:t xml:space="preserve"> LT and SC carried out </w:t>
      </w:r>
      <w:r w:rsidR="00C65FD7">
        <w:rPr>
          <w:sz w:val="24"/>
          <w:szCs w:val="24"/>
        </w:rPr>
        <w:t xml:space="preserve">selections </w:t>
      </w:r>
      <w:r w:rsidR="00C65FD7">
        <w:rPr>
          <w:sz w:val="24"/>
          <w:szCs w:val="24"/>
        </w:rPr>
        <w:lastRenderedPageBreak/>
        <w:t>for plasmid compatibility</w:t>
      </w:r>
      <w:r w:rsidR="00490F86">
        <w:rPr>
          <w:sz w:val="24"/>
          <w:szCs w:val="24"/>
        </w:rPr>
        <w:t>.</w:t>
      </w:r>
      <w:r w:rsidR="00C65FD7">
        <w:rPr>
          <w:sz w:val="24"/>
          <w:szCs w:val="24"/>
        </w:rPr>
        <w:t xml:space="preserve"> SC </w:t>
      </w:r>
      <w:r w:rsidR="00544097">
        <w:rPr>
          <w:sz w:val="24"/>
          <w:szCs w:val="24"/>
        </w:rPr>
        <w:t>characterised isolated origins and investigated cross- and inter-compatibility</w:t>
      </w:r>
      <w:r w:rsidR="00F05A4F">
        <w:rPr>
          <w:sz w:val="24"/>
          <w:szCs w:val="24"/>
        </w:rPr>
        <w:t xml:space="preserve"> between isolated origins. </w:t>
      </w:r>
      <w:r w:rsidR="00627126">
        <w:rPr>
          <w:sz w:val="24"/>
          <w:szCs w:val="24"/>
        </w:rPr>
        <w:t>SC and VBP wrote the manuscript.</w:t>
      </w:r>
    </w:p>
    <w:p w14:paraId="68EF7915" w14:textId="2060CA34" w:rsidR="00D71493" w:rsidRPr="00D71493" w:rsidRDefault="00D71493">
      <w:pPr>
        <w:spacing w:line="360" w:lineRule="auto"/>
        <w:jc w:val="both"/>
        <w:rPr>
          <w:b/>
          <w:bCs/>
          <w:sz w:val="24"/>
          <w:szCs w:val="24"/>
        </w:rPr>
      </w:pPr>
      <w:r w:rsidRPr="00D71493">
        <w:rPr>
          <w:b/>
          <w:bCs/>
          <w:sz w:val="24"/>
          <w:szCs w:val="24"/>
        </w:rPr>
        <w:t>Bibliography</w:t>
      </w:r>
    </w:p>
    <w:p w14:paraId="321D7903" w14:textId="4B1398E0" w:rsidR="00855FBA" w:rsidRPr="00855FBA" w:rsidRDefault="00BD5828" w:rsidP="00855FBA">
      <w:pPr>
        <w:widowControl w:val="0"/>
        <w:autoSpaceDE w:val="0"/>
        <w:autoSpaceDN w:val="0"/>
        <w:adjustRightInd w:val="0"/>
        <w:spacing w:line="360" w:lineRule="auto"/>
        <w:ind w:left="480" w:hanging="480"/>
        <w:rPr>
          <w:rFonts w:ascii="Calibri" w:hAnsi="Calibri" w:cs="Calibri"/>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855FBA" w:rsidRPr="00855FBA">
        <w:rPr>
          <w:rFonts w:ascii="Calibri" w:hAnsi="Calibri" w:cs="Calibri"/>
          <w:noProof/>
          <w:sz w:val="24"/>
          <w:szCs w:val="24"/>
        </w:rPr>
        <w:t xml:space="preserve">1. Staal,J., Alci,K., De Schamphelaire,W., Vanhoucke,M. and Beyaert,R. (2019) Engineering a minimal cloning vector from a pUC18 plasmid backbone with an extended multiple cloning site. </w:t>
      </w:r>
      <w:r w:rsidR="00855FBA" w:rsidRPr="00855FBA">
        <w:rPr>
          <w:rFonts w:ascii="Calibri" w:hAnsi="Calibri" w:cs="Calibri"/>
          <w:i/>
          <w:iCs/>
          <w:noProof/>
          <w:sz w:val="24"/>
          <w:szCs w:val="24"/>
        </w:rPr>
        <w:t>Biotechniques</w:t>
      </w:r>
      <w:r w:rsidR="00855FBA" w:rsidRPr="00855FBA">
        <w:rPr>
          <w:rFonts w:ascii="Calibri" w:hAnsi="Calibri" w:cs="Calibri"/>
          <w:noProof/>
          <w:sz w:val="24"/>
          <w:szCs w:val="24"/>
        </w:rPr>
        <w:t xml:space="preserve">, </w:t>
      </w:r>
      <w:r w:rsidR="00855FBA" w:rsidRPr="00855FBA">
        <w:rPr>
          <w:rFonts w:ascii="Calibri" w:hAnsi="Calibri" w:cs="Calibri"/>
          <w:b/>
          <w:bCs/>
          <w:noProof/>
          <w:sz w:val="24"/>
          <w:szCs w:val="24"/>
        </w:rPr>
        <w:t>66</w:t>
      </w:r>
      <w:r w:rsidR="00855FBA" w:rsidRPr="00855FBA">
        <w:rPr>
          <w:rFonts w:ascii="Calibri" w:hAnsi="Calibri" w:cs="Calibri"/>
          <w:noProof/>
          <w:sz w:val="24"/>
          <w:szCs w:val="24"/>
        </w:rPr>
        <w:t>, 254–259.</w:t>
      </w:r>
    </w:p>
    <w:p w14:paraId="2FB834D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 Johnston,C.D., Cotton,S.L., Rittling,S.R., Starr,J.R., Borisy,G.G., Dewhirst,F.E. and Lemon,K.P. (2019) Systematic evasion of the restriction-modification barrier in bacteria. </w:t>
      </w:r>
      <w:r w:rsidRPr="00855FBA">
        <w:rPr>
          <w:rFonts w:ascii="Calibri" w:hAnsi="Calibri" w:cs="Calibri"/>
          <w:i/>
          <w:iCs/>
          <w:noProof/>
          <w:sz w:val="24"/>
          <w:szCs w:val="24"/>
        </w:rPr>
        <w:t>Proc. Natl. Acad. Sci.</w:t>
      </w:r>
      <w:r w:rsidRPr="00855FBA">
        <w:rPr>
          <w:rFonts w:ascii="Calibri" w:hAnsi="Calibri" w:cs="Calibri"/>
          <w:noProof/>
          <w:sz w:val="24"/>
          <w:szCs w:val="24"/>
        </w:rPr>
        <w:t xml:space="preserve">, </w:t>
      </w:r>
      <w:r w:rsidRPr="00855FBA">
        <w:rPr>
          <w:rFonts w:ascii="Calibri" w:hAnsi="Calibri" w:cs="Calibri"/>
          <w:b/>
          <w:bCs/>
          <w:noProof/>
          <w:sz w:val="24"/>
          <w:szCs w:val="24"/>
        </w:rPr>
        <w:t>116</w:t>
      </w:r>
      <w:r w:rsidRPr="00855FBA">
        <w:rPr>
          <w:rFonts w:ascii="Calibri" w:hAnsi="Calibri" w:cs="Calibri"/>
          <w:noProof/>
          <w:sz w:val="24"/>
          <w:szCs w:val="24"/>
        </w:rPr>
        <w:t>, 11454–11459.</w:t>
      </w:r>
    </w:p>
    <w:p w14:paraId="48CF0FC4" w14:textId="77777777" w:rsidR="00855FBA" w:rsidRPr="0060708D" w:rsidRDefault="00855FBA" w:rsidP="00855FBA">
      <w:pPr>
        <w:widowControl w:val="0"/>
        <w:autoSpaceDE w:val="0"/>
        <w:autoSpaceDN w:val="0"/>
        <w:adjustRightInd w:val="0"/>
        <w:spacing w:line="360" w:lineRule="auto"/>
        <w:ind w:left="480" w:hanging="480"/>
        <w:rPr>
          <w:rFonts w:ascii="Calibri" w:hAnsi="Calibri" w:cs="Calibri"/>
          <w:noProof/>
          <w:sz w:val="24"/>
          <w:szCs w:val="24"/>
          <w:lang w:val="pt-BR"/>
        </w:rPr>
      </w:pPr>
      <w:r w:rsidRPr="00855FBA">
        <w:rPr>
          <w:rFonts w:ascii="Calibri" w:hAnsi="Calibri" w:cs="Calibri"/>
          <w:noProof/>
          <w:sz w:val="24"/>
          <w:szCs w:val="24"/>
        </w:rPr>
        <w:t xml:space="preserve">3. Martínez-García,E., Goñi-Moreno,A., Bartley,B., McLaughlin,J., Sánchez-Sampedro,L., Pascual Del Pozo,H., Prieto Hernández,C., Marletta,A.S., De Lucrezia,D., Sánchez-Fernández,G., </w:t>
      </w:r>
      <w:r w:rsidRPr="00855FBA">
        <w:rPr>
          <w:rFonts w:ascii="Calibri" w:hAnsi="Calibri" w:cs="Calibri"/>
          <w:i/>
          <w:iCs/>
          <w:noProof/>
          <w:sz w:val="24"/>
          <w:szCs w:val="24"/>
        </w:rPr>
        <w:t>et al.</w:t>
      </w:r>
      <w:r w:rsidRPr="00855FBA">
        <w:rPr>
          <w:rFonts w:ascii="Calibri" w:hAnsi="Calibri" w:cs="Calibri"/>
          <w:noProof/>
          <w:sz w:val="24"/>
          <w:szCs w:val="24"/>
        </w:rPr>
        <w:t xml:space="preserve"> (2020) SEVA 3.0: An update of the Standard European Vector Architecture for enabling portability of genetic constructs among diverse bacterial hosts. </w:t>
      </w:r>
      <w:r w:rsidRPr="0060708D">
        <w:rPr>
          <w:rFonts w:ascii="Calibri" w:hAnsi="Calibri" w:cs="Calibri"/>
          <w:i/>
          <w:iCs/>
          <w:noProof/>
          <w:sz w:val="24"/>
          <w:szCs w:val="24"/>
          <w:lang w:val="pt-BR"/>
        </w:rPr>
        <w:t>Nucleic Acids Res.</w:t>
      </w:r>
      <w:r w:rsidRPr="0060708D">
        <w:rPr>
          <w:rFonts w:ascii="Calibri" w:hAnsi="Calibri" w:cs="Calibri"/>
          <w:noProof/>
          <w:sz w:val="24"/>
          <w:szCs w:val="24"/>
          <w:lang w:val="pt-BR"/>
        </w:rPr>
        <w:t xml:space="preserve">, </w:t>
      </w:r>
      <w:r w:rsidRPr="0060708D">
        <w:rPr>
          <w:rFonts w:ascii="Calibri" w:hAnsi="Calibri" w:cs="Calibri"/>
          <w:b/>
          <w:bCs/>
          <w:noProof/>
          <w:sz w:val="24"/>
          <w:szCs w:val="24"/>
          <w:lang w:val="pt-BR"/>
        </w:rPr>
        <w:t>48</w:t>
      </w:r>
      <w:r w:rsidRPr="0060708D">
        <w:rPr>
          <w:rFonts w:ascii="Calibri" w:hAnsi="Calibri" w:cs="Calibri"/>
          <w:noProof/>
          <w:sz w:val="24"/>
          <w:szCs w:val="24"/>
          <w:lang w:val="pt-BR"/>
        </w:rPr>
        <w:t>, D1164–D1170.</w:t>
      </w:r>
    </w:p>
    <w:p w14:paraId="4A9CA3E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60708D">
        <w:rPr>
          <w:rFonts w:ascii="Calibri" w:hAnsi="Calibri" w:cs="Calibri"/>
          <w:noProof/>
          <w:sz w:val="24"/>
          <w:szCs w:val="24"/>
          <w:lang w:val="pt-BR"/>
        </w:rPr>
        <w:t xml:space="preserve">4. Silva-Rocha,R., Martínez-García,E., Calles,B., Chavarría,M., Arce-Rodríguez,A., De Las Heras,A., Páez-Espino,A.D., Durante-Rodríguez,G., Kim,J., Nikel,P.I., </w:t>
      </w:r>
      <w:r w:rsidRPr="0060708D">
        <w:rPr>
          <w:rFonts w:ascii="Calibri" w:hAnsi="Calibri" w:cs="Calibri"/>
          <w:i/>
          <w:iCs/>
          <w:noProof/>
          <w:sz w:val="24"/>
          <w:szCs w:val="24"/>
          <w:lang w:val="pt-BR"/>
        </w:rPr>
        <w:t>et al.</w:t>
      </w:r>
      <w:r w:rsidRPr="0060708D">
        <w:rPr>
          <w:rFonts w:ascii="Calibri" w:hAnsi="Calibri" w:cs="Calibri"/>
          <w:noProof/>
          <w:sz w:val="24"/>
          <w:szCs w:val="24"/>
          <w:lang w:val="pt-BR"/>
        </w:rPr>
        <w:t xml:space="preserve"> </w:t>
      </w:r>
      <w:r w:rsidRPr="00855FBA">
        <w:rPr>
          <w:rFonts w:ascii="Calibri" w:hAnsi="Calibri" w:cs="Calibri"/>
          <w:noProof/>
          <w:sz w:val="24"/>
          <w:szCs w:val="24"/>
        </w:rPr>
        <w:t xml:space="preserve">(2013) The Standard European Vector Architecture (SEVA): A coherent platform for the analysis and deployment of complex prokaryotic phenotypes.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41</w:t>
      </w:r>
      <w:r w:rsidRPr="00855FBA">
        <w:rPr>
          <w:rFonts w:ascii="Calibri" w:hAnsi="Calibri" w:cs="Calibri"/>
          <w:noProof/>
          <w:sz w:val="24"/>
          <w:szCs w:val="24"/>
        </w:rPr>
        <w:t>, D666.</w:t>
      </w:r>
    </w:p>
    <w:p w14:paraId="7647A1C3"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5. Valenzuela-Ortega,M. and French,C. (2021) Joint universal modular plasmids (JUMP): a flexible vector platform for synthetic biology. </w:t>
      </w:r>
      <w:r w:rsidRPr="00855FBA">
        <w:rPr>
          <w:rFonts w:ascii="Calibri" w:hAnsi="Calibri" w:cs="Calibri"/>
          <w:i/>
          <w:iCs/>
          <w:noProof/>
          <w:sz w:val="24"/>
          <w:szCs w:val="24"/>
        </w:rPr>
        <w:t>Synth. 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w:t>
      </w:r>
    </w:p>
    <w:p w14:paraId="3515AA6E"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6. Hasty,J., McMillen,D. and Collins,J.J. (2002) Engineered gene circuits. </w:t>
      </w:r>
      <w:r w:rsidRPr="00855FBA">
        <w:rPr>
          <w:rFonts w:ascii="Calibri" w:hAnsi="Calibri" w:cs="Calibri"/>
          <w:i/>
          <w:iCs/>
          <w:noProof/>
          <w:sz w:val="24"/>
          <w:szCs w:val="24"/>
        </w:rPr>
        <w:t>Nature</w:t>
      </w:r>
      <w:r w:rsidRPr="00855FBA">
        <w:rPr>
          <w:rFonts w:ascii="Calibri" w:hAnsi="Calibri" w:cs="Calibri"/>
          <w:noProof/>
          <w:sz w:val="24"/>
          <w:szCs w:val="24"/>
        </w:rPr>
        <w:t xml:space="preserve">, </w:t>
      </w:r>
      <w:r w:rsidRPr="00855FBA">
        <w:rPr>
          <w:rFonts w:ascii="Calibri" w:hAnsi="Calibri" w:cs="Calibri"/>
          <w:b/>
          <w:bCs/>
          <w:noProof/>
          <w:sz w:val="24"/>
          <w:szCs w:val="24"/>
        </w:rPr>
        <w:t>420</w:t>
      </w:r>
      <w:r w:rsidRPr="00855FBA">
        <w:rPr>
          <w:rFonts w:ascii="Calibri" w:hAnsi="Calibri" w:cs="Calibri"/>
          <w:noProof/>
          <w:sz w:val="24"/>
          <w:szCs w:val="24"/>
        </w:rPr>
        <w:t>, 224–230.</w:t>
      </w:r>
    </w:p>
    <w:p w14:paraId="1B3809B7" w14:textId="77777777" w:rsidR="00855FBA" w:rsidRPr="0060708D" w:rsidRDefault="00855FBA" w:rsidP="00855FBA">
      <w:pPr>
        <w:widowControl w:val="0"/>
        <w:autoSpaceDE w:val="0"/>
        <w:autoSpaceDN w:val="0"/>
        <w:adjustRightInd w:val="0"/>
        <w:spacing w:line="360" w:lineRule="auto"/>
        <w:ind w:left="480" w:hanging="480"/>
        <w:rPr>
          <w:rFonts w:ascii="Calibri" w:hAnsi="Calibri" w:cs="Calibri"/>
          <w:noProof/>
          <w:sz w:val="24"/>
          <w:szCs w:val="24"/>
          <w:lang w:val="nl-BE"/>
        </w:rPr>
      </w:pPr>
      <w:r w:rsidRPr="00855FBA">
        <w:rPr>
          <w:rFonts w:ascii="Calibri" w:hAnsi="Calibri" w:cs="Calibri"/>
          <w:noProof/>
          <w:sz w:val="24"/>
          <w:szCs w:val="24"/>
        </w:rPr>
        <w:t xml:space="preserve">7. Morgan,J.L.W., Acheson,J.F. and Zimmer,J. (2017) Structure of a Type-1 Secretion System ABC Transporter. </w:t>
      </w:r>
      <w:r w:rsidRPr="0060708D">
        <w:rPr>
          <w:rFonts w:ascii="Calibri" w:hAnsi="Calibri" w:cs="Calibri"/>
          <w:i/>
          <w:iCs/>
          <w:noProof/>
          <w:sz w:val="24"/>
          <w:szCs w:val="24"/>
          <w:lang w:val="nl-BE"/>
        </w:rPr>
        <w:t>Structure</w:t>
      </w:r>
      <w:r w:rsidRPr="0060708D">
        <w:rPr>
          <w:rFonts w:ascii="Calibri" w:hAnsi="Calibri" w:cs="Calibri"/>
          <w:noProof/>
          <w:sz w:val="24"/>
          <w:szCs w:val="24"/>
          <w:lang w:val="nl-BE"/>
        </w:rPr>
        <w:t xml:space="preserve">, </w:t>
      </w:r>
      <w:r w:rsidRPr="0060708D">
        <w:rPr>
          <w:rFonts w:ascii="Calibri" w:hAnsi="Calibri" w:cs="Calibri"/>
          <w:b/>
          <w:bCs/>
          <w:noProof/>
          <w:sz w:val="24"/>
          <w:szCs w:val="24"/>
          <w:lang w:val="nl-BE"/>
        </w:rPr>
        <w:t>25</w:t>
      </w:r>
      <w:r w:rsidRPr="0060708D">
        <w:rPr>
          <w:rFonts w:ascii="Calibri" w:hAnsi="Calibri" w:cs="Calibri"/>
          <w:noProof/>
          <w:sz w:val="24"/>
          <w:szCs w:val="24"/>
          <w:lang w:val="nl-BE"/>
        </w:rPr>
        <w:t>, 522–529.</w:t>
      </w:r>
    </w:p>
    <w:p w14:paraId="4FD97D75"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60708D">
        <w:rPr>
          <w:rFonts w:ascii="Calibri" w:hAnsi="Calibri" w:cs="Calibri"/>
          <w:noProof/>
          <w:sz w:val="24"/>
          <w:szCs w:val="24"/>
          <w:lang w:val="nl-BE"/>
        </w:rPr>
        <w:t xml:space="preserve">8. Romier,C., Ben Jelloul,M., Albeck,S., Buchwald,G., Busso,D., Celie,P.H.N., Christodoulou,E., De Marco,V., van Gerwen,S., Knipscheer,P., </w:t>
      </w:r>
      <w:r w:rsidRPr="0060708D">
        <w:rPr>
          <w:rFonts w:ascii="Calibri" w:hAnsi="Calibri" w:cs="Calibri"/>
          <w:i/>
          <w:iCs/>
          <w:noProof/>
          <w:sz w:val="24"/>
          <w:szCs w:val="24"/>
          <w:lang w:val="nl-BE"/>
        </w:rPr>
        <w:t>et al.</w:t>
      </w:r>
      <w:r w:rsidRPr="0060708D">
        <w:rPr>
          <w:rFonts w:ascii="Calibri" w:hAnsi="Calibri" w:cs="Calibri"/>
          <w:noProof/>
          <w:sz w:val="24"/>
          <w:szCs w:val="24"/>
          <w:lang w:val="nl-BE"/>
        </w:rPr>
        <w:t xml:space="preserve"> </w:t>
      </w:r>
      <w:r w:rsidRPr="00855FBA">
        <w:rPr>
          <w:rFonts w:ascii="Calibri" w:hAnsi="Calibri" w:cs="Calibri"/>
          <w:noProof/>
          <w:sz w:val="24"/>
          <w:szCs w:val="24"/>
        </w:rPr>
        <w:t xml:space="preserve">(2006) Co-expression of protein complexes in prokaryotic and eukaryotic hosts: experimental procedures, database tracking and case studies. </w:t>
      </w:r>
      <w:r w:rsidRPr="00855FBA">
        <w:rPr>
          <w:rFonts w:ascii="Calibri" w:hAnsi="Calibri" w:cs="Calibri"/>
          <w:i/>
          <w:iCs/>
          <w:noProof/>
          <w:sz w:val="24"/>
          <w:szCs w:val="24"/>
        </w:rPr>
        <w:t>Acta Crystallogr. Sect. D Biol. Crystallogr.</w:t>
      </w:r>
      <w:r w:rsidRPr="00855FBA">
        <w:rPr>
          <w:rFonts w:ascii="Calibri" w:hAnsi="Calibri" w:cs="Calibri"/>
          <w:noProof/>
          <w:sz w:val="24"/>
          <w:szCs w:val="24"/>
        </w:rPr>
        <w:t xml:space="preserve">, </w:t>
      </w:r>
      <w:r w:rsidRPr="00855FBA">
        <w:rPr>
          <w:rFonts w:ascii="Calibri" w:hAnsi="Calibri" w:cs="Calibri"/>
          <w:b/>
          <w:bCs/>
          <w:noProof/>
          <w:sz w:val="24"/>
          <w:szCs w:val="24"/>
        </w:rPr>
        <w:t>62</w:t>
      </w:r>
      <w:r w:rsidRPr="00855FBA">
        <w:rPr>
          <w:rFonts w:ascii="Calibri" w:hAnsi="Calibri" w:cs="Calibri"/>
          <w:noProof/>
          <w:sz w:val="24"/>
          <w:szCs w:val="24"/>
        </w:rPr>
        <w:t>, 1232–1242.</w:t>
      </w:r>
    </w:p>
    <w:p w14:paraId="65AED26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lastRenderedPageBreak/>
        <w:t xml:space="preserve">9. Yang,J. and Guo,L. (2014) Biosynthesis of β-carotene in engineered E. coli using the MEP and MVA pathways. </w:t>
      </w:r>
      <w:r w:rsidRPr="00855FBA">
        <w:rPr>
          <w:rFonts w:ascii="Calibri" w:hAnsi="Calibri" w:cs="Calibri"/>
          <w:i/>
          <w:iCs/>
          <w:noProof/>
          <w:sz w:val="24"/>
          <w:szCs w:val="24"/>
        </w:rPr>
        <w:t>Microb. Cell Fact.</w:t>
      </w:r>
      <w:r w:rsidRPr="00855FBA">
        <w:rPr>
          <w:rFonts w:ascii="Calibri" w:hAnsi="Calibri" w:cs="Calibri"/>
          <w:noProof/>
          <w:sz w:val="24"/>
          <w:szCs w:val="24"/>
        </w:rPr>
        <w:t xml:space="preserve">, </w:t>
      </w:r>
      <w:r w:rsidRPr="00855FBA">
        <w:rPr>
          <w:rFonts w:ascii="Calibri" w:hAnsi="Calibri" w:cs="Calibri"/>
          <w:b/>
          <w:bCs/>
          <w:noProof/>
          <w:sz w:val="24"/>
          <w:szCs w:val="24"/>
        </w:rPr>
        <w:t>13</w:t>
      </w:r>
      <w:r w:rsidRPr="00855FBA">
        <w:rPr>
          <w:rFonts w:ascii="Calibri" w:hAnsi="Calibri" w:cs="Calibri"/>
          <w:noProof/>
          <w:sz w:val="24"/>
          <w:szCs w:val="24"/>
        </w:rPr>
        <w:t>, 1–11.</w:t>
      </w:r>
    </w:p>
    <w:p w14:paraId="7EC9F47B"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10. Martin,V.J.J., Piteral,D.J., Withers,S.T., Newman,J.D. and Keasling,J.D. (2003) Engineering a mevalonate pathway in Escherichia coli for production of terpenoids. </w:t>
      </w:r>
      <w:r w:rsidRPr="00855FBA">
        <w:rPr>
          <w:rFonts w:ascii="Calibri" w:hAnsi="Calibri" w:cs="Calibri"/>
          <w:i/>
          <w:iCs/>
          <w:noProof/>
          <w:sz w:val="24"/>
          <w:szCs w:val="24"/>
        </w:rPr>
        <w:t>Nat. Biotechnol.</w:t>
      </w:r>
      <w:r w:rsidRPr="00855FBA">
        <w:rPr>
          <w:rFonts w:ascii="Calibri" w:hAnsi="Calibri" w:cs="Calibri"/>
          <w:noProof/>
          <w:sz w:val="24"/>
          <w:szCs w:val="24"/>
        </w:rPr>
        <w:t xml:space="preserve">, </w:t>
      </w:r>
      <w:r w:rsidRPr="00855FBA">
        <w:rPr>
          <w:rFonts w:ascii="Calibri" w:hAnsi="Calibri" w:cs="Calibri"/>
          <w:b/>
          <w:bCs/>
          <w:noProof/>
          <w:sz w:val="24"/>
          <w:szCs w:val="24"/>
        </w:rPr>
        <w:t>21</w:t>
      </w:r>
      <w:r w:rsidRPr="00855FBA">
        <w:rPr>
          <w:rFonts w:ascii="Calibri" w:hAnsi="Calibri" w:cs="Calibri"/>
          <w:noProof/>
          <w:sz w:val="24"/>
          <w:szCs w:val="24"/>
        </w:rPr>
        <w:t>, 796–802.</w:t>
      </w:r>
    </w:p>
    <w:p w14:paraId="24B50EB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11. Wang,L. and Schultz,P.G. (2001) A general approach for the generation of orthogonal tRNAs. </w:t>
      </w:r>
      <w:r w:rsidRPr="00855FBA">
        <w:rPr>
          <w:rFonts w:ascii="Calibri" w:hAnsi="Calibri" w:cs="Calibri"/>
          <w:i/>
          <w:iCs/>
          <w:noProof/>
          <w:sz w:val="24"/>
          <w:szCs w:val="24"/>
        </w:rPr>
        <w:t>Chem. Biol.</w:t>
      </w:r>
      <w:r w:rsidRPr="00855FBA">
        <w:rPr>
          <w:rFonts w:ascii="Calibri" w:hAnsi="Calibri" w:cs="Calibri"/>
          <w:noProof/>
          <w:sz w:val="24"/>
          <w:szCs w:val="24"/>
        </w:rPr>
        <w:t xml:space="preserve">, </w:t>
      </w:r>
      <w:r w:rsidRPr="00855FBA">
        <w:rPr>
          <w:rFonts w:ascii="Calibri" w:hAnsi="Calibri" w:cs="Calibri"/>
          <w:b/>
          <w:bCs/>
          <w:noProof/>
          <w:sz w:val="24"/>
          <w:szCs w:val="24"/>
        </w:rPr>
        <w:t>8</w:t>
      </w:r>
      <w:r w:rsidRPr="00855FBA">
        <w:rPr>
          <w:rFonts w:ascii="Calibri" w:hAnsi="Calibri" w:cs="Calibri"/>
          <w:noProof/>
          <w:sz w:val="24"/>
          <w:szCs w:val="24"/>
        </w:rPr>
        <w:t>, 883–890.</w:t>
      </w:r>
    </w:p>
    <w:p w14:paraId="51016774"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12. Packer,M.S., Rees,H.A. and Liu,D.R. (2017) Phage-assisted continuous evolution of proteases with altered substrate specificity. </w:t>
      </w:r>
      <w:r w:rsidRPr="00855FBA">
        <w:rPr>
          <w:rFonts w:ascii="Calibri" w:hAnsi="Calibri" w:cs="Calibri"/>
          <w:i/>
          <w:iCs/>
          <w:noProof/>
          <w:sz w:val="24"/>
          <w:szCs w:val="24"/>
        </w:rPr>
        <w:t>Nat. Commun.</w:t>
      </w:r>
      <w:r w:rsidRPr="00855FBA">
        <w:rPr>
          <w:rFonts w:ascii="Calibri" w:hAnsi="Calibri" w:cs="Calibri"/>
          <w:noProof/>
          <w:sz w:val="24"/>
          <w:szCs w:val="24"/>
        </w:rPr>
        <w:t xml:space="preserve">, </w:t>
      </w:r>
      <w:r w:rsidRPr="00855FBA">
        <w:rPr>
          <w:rFonts w:ascii="Calibri" w:hAnsi="Calibri" w:cs="Calibri"/>
          <w:b/>
          <w:bCs/>
          <w:noProof/>
          <w:sz w:val="24"/>
          <w:szCs w:val="24"/>
        </w:rPr>
        <w:t>8</w:t>
      </w:r>
      <w:r w:rsidRPr="00855FBA">
        <w:rPr>
          <w:rFonts w:ascii="Calibri" w:hAnsi="Calibri" w:cs="Calibri"/>
          <w:noProof/>
          <w:sz w:val="24"/>
          <w:szCs w:val="24"/>
        </w:rPr>
        <w:t>, 956.</w:t>
      </w:r>
    </w:p>
    <w:p w14:paraId="3DEAAE19"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13. Velappan,N., Sblattero,D., Chasteen,L., Pavlik,P. and Bradbury,A.R.M. (2007) Plasmid incompatibility: more compatible than previously thought? </w:t>
      </w:r>
      <w:r w:rsidRPr="00855FBA">
        <w:rPr>
          <w:rFonts w:ascii="Calibri" w:hAnsi="Calibri" w:cs="Calibri"/>
          <w:i/>
          <w:iCs/>
          <w:noProof/>
          <w:sz w:val="24"/>
          <w:szCs w:val="24"/>
        </w:rPr>
        <w:t>Protein Eng. Des. Sel.</w:t>
      </w:r>
      <w:r w:rsidRPr="00855FBA">
        <w:rPr>
          <w:rFonts w:ascii="Calibri" w:hAnsi="Calibri" w:cs="Calibri"/>
          <w:noProof/>
          <w:sz w:val="24"/>
          <w:szCs w:val="24"/>
        </w:rPr>
        <w:t xml:space="preserve">, </w:t>
      </w:r>
      <w:r w:rsidRPr="00855FBA">
        <w:rPr>
          <w:rFonts w:ascii="Calibri" w:hAnsi="Calibri" w:cs="Calibri"/>
          <w:b/>
          <w:bCs/>
          <w:noProof/>
          <w:sz w:val="24"/>
          <w:szCs w:val="24"/>
        </w:rPr>
        <w:t>20</w:t>
      </w:r>
      <w:r w:rsidRPr="00855FBA">
        <w:rPr>
          <w:rFonts w:ascii="Calibri" w:hAnsi="Calibri" w:cs="Calibri"/>
          <w:noProof/>
          <w:sz w:val="24"/>
          <w:szCs w:val="24"/>
        </w:rPr>
        <w:t>, 309–313.</w:t>
      </w:r>
    </w:p>
    <w:p w14:paraId="6F25D09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14. Novick,R.P. (1987) Plasmid incompatibility. </w:t>
      </w:r>
      <w:r w:rsidRPr="00855FBA">
        <w:rPr>
          <w:rFonts w:ascii="Calibri" w:hAnsi="Calibri" w:cs="Calibri"/>
          <w:i/>
          <w:iCs/>
          <w:noProof/>
          <w:sz w:val="24"/>
          <w:szCs w:val="24"/>
        </w:rPr>
        <w:t>Microbiol. Rev.</w:t>
      </w:r>
      <w:r w:rsidRPr="00855FBA">
        <w:rPr>
          <w:rFonts w:ascii="Calibri" w:hAnsi="Calibri" w:cs="Calibri"/>
          <w:noProof/>
          <w:sz w:val="24"/>
          <w:szCs w:val="24"/>
        </w:rPr>
        <w:t xml:space="preserve">, </w:t>
      </w:r>
      <w:r w:rsidRPr="00855FBA">
        <w:rPr>
          <w:rFonts w:ascii="Calibri" w:hAnsi="Calibri" w:cs="Calibri"/>
          <w:b/>
          <w:bCs/>
          <w:noProof/>
          <w:sz w:val="24"/>
          <w:szCs w:val="24"/>
        </w:rPr>
        <w:t>51</w:t>
      </w:r>
      <w:r w:rsidRPr="00855FBA">
        <w:rPr>
          <w:rFonts w:ascii="Calibri" w:hAnsi="Calibri" w:cs="Calibri"/>
          <w:noProof/>
          <w:sz w:val="24"/>
          <w:szCs w:val="24"/>
        </w:rPr>
        <w:t>, 381–395.</w:t>
      </w:r>
    </w:p>
    <w:p w14:paraId="18BF429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15. Shintani,M., Sanchez,Z.K. and Kimbara,K. (2015) Genomics of microbial plasmids: Classification and identification based on replication and transfer systems and host taxonomy. </w:t>
      </w:r>
      <w:r w:rsidRPr="00855FBA">
        <w:rPr>
          <w:rFonts w:ascii="Calibri" w:hAnsi="Calibri" w:cs="Calibri"/>
          <w:i/>
          <w:iCs/>
          <w:noProof/>
          <w:sz w:val="24"/>
          <w:szCs w:val="24"/>
        </w:rPr>
        <w:t>Front. Microbiol.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242.</w:t>
      </w:r>
    </w:p>
    <w:p w14:paraId="7C6959C3"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16. Selzer,G., Som,T., Itoh,T. and Tomizawa,J. (1983) The origin of replication of plasmid p15A and comparative studies on the nucleotide sequences around the origin of related plasmids. </w:t>
      </w:r>
      <w:r w:rsidRPr="00855FBA">
        <w:rPr>
          <w:rFonts w:ascii="Calibri" w:hAnsi="Calibri" w:cs="Calibri"/>
          <w:i/>
          <w:iCs/>
          <w:noProof/>
          <w:sz w:val="24"/>
          <w:szCs w:val="24"/>
        </w:rPr>
        <w:t>Cell</w:t>
      </w:r>
      <w:r w:rsidRPr="00855FBA">
        <w:rPr>
          <w:rFonts w:ascii="Calibri" w:hAnsi="Calibri" w:cs="Calibri"/>
          <w:noProof/>
          <w:sz w:val="24"/>
          <w:szCs w:val="24"/>
        </w:rPr>
        <w:t xml:space="preserve">, </w:t>
      </w:r>
      <w:r w:rsidRPr="00855FBA">
        <w:rPr>
          <w:rFonts w:ascii="Calibri" w:hAnsi="Calibri" w:cs="Calibri"/>
          <w:b/>
          <w:bCs/>
          <w:noProof/>
          <w:sz w:val="24"/>
          <w:szCs w:val="24"/>
        </w:rPr>
        <w:t>32</w:t>
      </w:r>
      <w:r w:rsidRPr="00855FBA">
        <w:rPr>
          <w:rFonts w:ascii="Calibri" w:hAnsi="Calibri" w:cs="Calibri"/>
          <w:noProof/>
          <w:sz w:val="24"/>
          <w:szCs w:val="24"/>
        </w:rPr>
        <w:t>, 119–129.</w:t>
      </w:r>
    </w:p>
    <w:p w14:paraId="70A58AAB"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17. Morita,M. and Oka,A. (1979) The structure of a transcriptional unit on colicin E1 plasmid. </w:t>
      </w:r>
      <w:r w:rsidRPr="00855FBA">
        <w:rPr>
          <w:rFonts w:ascii="Calibri" w:hAnsi="Calibri" w:cs="Calibri"/>
          <w:i/>
          <w:iCs/>
          <w:noProof/>
          <w:sz w:val="24"/>
          <w:szCs w:val="24"/>
        </w:rPr>
        <w:t>Eur. J. Biochem.</w:t>
      </w:r>
      <w:r w:rsidRPr="00855FBA">
        <w:rPr>
          <w:rFonts w:ascii="Calibri" w:hAnsi="Calibri" w:cs="Calibri"/>
          <w:noProof/>
          <w:sz w:val="24"/>
          <w:szCs w:val="24"/>
        </w:rPr>
        <w:t xml:space="preserve">, </w:t>
      </w:r>
      <w:r w:rsidRPr="00855FBA">
        <w:rPr>
          <w:rFonts w:ascii="Calibri" w:hAnsi="Calibri" w:cs="Calibri"/>
          <w:b/>
          <w:bCs/>
          <w:noProof/>
          <w:sz w:val="24"/>
          <w:szCs w:val="24"/>
        </w:rPr>
        <w:t>97</w:t>
      </w:r>
      <w:r w:rsidRPr="00855FBA">
        <w:rPr>
          <w:rFonts w:ascii="Calibri" w:hAnsi="Calibri" w:cs="Calibri"/>
          <w:noProof/>
          <w:sz w:val="24"/>
          <w:szCs w:val="24"/>
        </w:rPr>
        <w:t>, 435–43.</w:t>
      </w:r>
    </w:p>
    <w:p w14:paraId="19C5B3A4"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18. Lacatena,R.M. and Cesareni,G. (1981) Base pairing of RNA I with its complementary sequence in the primer precursor inhibits ColE1 replication. </w:t>
      </w:r>
      <w:r w:rsidRPr="00855FBA">
        <w:rPr>
          <w:rFonts w:ascii="Calibri" w:hAnsi="Calibri" w:cs="Calibri"/>
          <w:i/>
          <w:iCs/>
          <w:noProof/>
          <w:sz w:val="24"/>
          <w:szCs w:val="24"/>
        </w:rPr>
        <w:t>Nature</w:t>
      </w:r>
      <w:r w:rsidRPr="00855FBA">
        <w:rPr>
          <w:rFonts w:ascii="Calibri" w:hAnsi="Calibri" w:cs="Calibri"/>
          <w:noProof/>
          <w:sz w:val="24"/>
          <w:szCs w:val="24"/>
        </w:rPr>
        <w:t xml:space="preserve">, </w:t>
      </w:r>
      <w:r w:rsidRPr="00855FBA">
        <w:rPr>
          <w:rFonts w:ascii="Calibri" w:hAnsi="Calibri" w:cs="Calibri"/>
          <w:b/>
          <w:bCs/>
          <w:noProof/>
          <w:sz w:val="24"/>
          <w:szCs w:val="24"/>
        </w:rPr>
        <w:t>294</w:t>
      </w:r>
      <w:r w:rsidRPr="00855FBA">
        <w:rPr>
          <w:rFonts w:ascii="Calibri" w:hAnsi="Calibri" w:cs="Calibri"/>
          <w:noProof/>
          <w:sz w:val="24"/>
          <w:szCs w:val="24"/>
        </w:rPr>
        <w:t>, 623–626.</w:t>
      </w:r>
    </w:p>
    <w:p w14:paraId="5089553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19. Cesareni,G., Helmer-Citterich,M. and Castagnoli,L. (1991) Control of ColE1 plasmid replication by antisense RNA. </w:t>
      </w:r>
      <w:r w:rsidRPr="00855FBA">
        <w:rPr>
          <w:rFonts w:ascii="Calibri" w:hAnsi="Calibri" w:cs="Calibri"/>
          <w:i/>
          <w:iCs/>
          <w:noProof/>
          <w:sz w:val="24"/>
          <w:szCs w:val="24"/>
        </w:rPr>
        <w:t>Trends Genet.</w:t>
      </w:r>
      <w:r w:rsidRPr="00855FBA">
        <w:rPr>
          <w:rFonts w:ascii="Calibri" w:hAnsi="Calibri" w:cs="Calibri"/>
          <w:noProof/>
          <w:sz w:val="24"/>
          <w:szCs w:val="24"/>
        </w:rPr>
        <w:t xml:space="preserve">, </w:t>
      </w:r>
      <w:r w:rsidRPr="00855FBA">
        <w:rPr>
          <w:rFonts w:ascii="Calibri" w:hAnsi="Calibri" w:cs="Calibri"/>
          <w:b/>
          <w:bCs/>
          <w:noProof/>
          <w:sz w:val="24"/>
          <w:szCs w:val="24"/>
        </w:rPr>
        <w:t>7</w:t>
      </w:r>
      <w:r w:rsidRPr="00855FBA">
        <w:rPr>
          <w:rFonts w:ascii="Calibri" w:hAnsi="Calibri" w:cs="Calibri"/>
          <w:noProof/>
          <w:sz w:val="24"/>
          <w:szCs w:val="24"/>
        </w:rPr>
        <w:t>, 230–235.</w:t>
      </w:r>
    </w:p>
    <w:p w14:paraId="3F98345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20. Cesareni,G., Muesing,M.A. and Polisky,B. (1982) Control of ColE1 DNA replication: the rop gene product negatively affects transcription from the replication primer promoter. </w:t>
      </w:r>
      <w:r w:rsidRPr="00855FBA">
        <w:rPr>
          <w:rFonts w:ascii="Calibri" w:hAnsi="Calibri" w:cs="Calibri"/>
          <w:i/>
          <w:iCs/>
          <w:noProof/>
          <w:sz w:val="24"/>
          <w:szCs w:val="24"/>
        </w:rPr>
        <w:t>Proc. Natl. Acad. Sci.</w:t>
      </w:r>
      <w:r w:rsidRPr="00855FBA">
        <w:rPr>
          <w:rFonts w:ascii="Calibri" w:hAnsi="Calibri" w:cs="Calibri"/>
          <w:noProof/>
          <w:sz w:val="24"/>
          <w:szCs w:val="24"/>
        </w:rPr>
        <w:t xml:space="preserve">, </w:t>
      </w:r>
      <w:r w:rsidRPr="00855FBA">
        <w:rPr>
          <w:rFonts w:ascii="Calibri" w:hAnsi="Calibri" w:cs="Calibri"/>
          <w:b/>
          <w:bCs/>
          <w:noProof/>
          <w:sz w:val="24"/>
          <w:szCs w:val="24"/>
        </w:rPr>
        <w:t>79</w:t>
      </w:r>
      <w:r w:rsidRPr="00855FBA">
        <w:rPr>
          <w:rFonts w:ascii="Calibri" w:hAnsi="Calibri" w:cs="Calibri"/>
          <w:noProof/>
          <w:sz w:val="24"/>
          <w:szCs w:val="24"/>
        </w:rPr>
        <w:t>, 6313–6317.</w:t>
      </w:r>
    </w:p>
    <w:p w14:paraId="4D1CE15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lastRenderedPageBreak/>
        <w:t xml:space="preserve">21. Salim,N., Lamichhane,R., Zhao,R., Banerjee,T., Philip,J., Rueda,D. and Feig,A.L. (2012) Thermodynamic and kinetic analysis of an RNA kissing interaction and its resolution into an extended duplex. </w:t>
      </w:r>
      <w:r w:rsidRPr="00855FBA">
        <w:rPr>
          <w:rFonts w:ascii="Calibri" w:hAnsi="Calibri" w:cs="Calibri"/>
          <w:i/>
          <w:iCs/>
          <w:noProof/>
          <w:sz w:val="24"/>
          <w:szCs w:val="24"/>
        </w:rPr>
        <w:t>Biophys. J.</w:t>
      </w:r>
      <w:r w:rsidRPr="00855FBA">
        <w:rPr>
          <w:rFonts w:ascii="Calibri" w:hAnsi="Calibri" w:cs="Calibri"/>
          <w:noProof/>
          <w:sz w:val="24"/>
          <w:szCs w:val="24"/>
        </w:rPr>
        <w:t xml:space="preserve">, </w:t>
      </w:r>
      <w:r w:rsidRPr="00855FBA">
        <w:rPr>
          <w:rFonts w:ascii="Calibri" w:hAnsi="Calibri" w:cs="Calibri"/>
          <w:b/>
          <w:bCs/>
          <w:noProof/>
          <w:sz w:val="24"/>
          <w:szCs w:val="24"/>
        </w:rPr>
        <w:t>102</w:t>
      </w:r>
      <w:r w:rsidRPr="00855FBA">
        <w:rPr>
          <w:rFonts w:ascii="Calibri" w:hAnsi="Calibri" w:cs="Calibri"/>
          <w:noProof/>
          <w:sz w:val="24"/>
          <w:szCs w:val="24"/>
        </w:rPr>
        <w:t>, 1097–1107.</w:t>
      </w:r>
    </w:p>
    <w:p w14:paraId="67FEC556"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22. Kim,D., Rhee,Y., Rhodes,D., Sharma,V., Sorenson,O., Greener,A. and Smider,V. (2005) Directed Evolution and Identification of Control Regions of ColE1 Plasmid Replication Origins Using Only Nucleotide Deletions. </w:t>
      </w:r>
      <w:r w:rsidRPr="00855FBA">
        <w:rPr>
          <w:rFonts w:ascii="Calibri" w:hAnsi="Calibri" w:cs="Calibri"/>
          <w:i/>
          <w:iCs/>
          <w:noProof/>
          <w:sz w:val="24"/>
          <w:szCs w:val="24"/>
        </w:rPr>
        <w:t>J. Mol. Biol.</w:t>
      </w:r>
      <w:r w:rsidRPr="00855FBA">
        <w:rPr>
          <w:rFonts w:ascii="Calibri" w:hAnsi="Calibri" w:cs="Calibri"/>
          <w:noProof/>
          <w:sz w:val="24"/>
          <w:szCs w:val="24"/>
        </w:rPr>
        <w:t xml:space="preserve">, </w:t>
      </w:r>
      <w:r w:rsidRPr="00855FBA">
        <w:rPr>
          <w:rFonts w:ascii="Calibri" w:hAnsi="Calibri" w:cs="Calibri"/>
          <w:b/>
          <w:bCs/>
          <w:noProof/>
          <w:sz w:val="24"/>
          <w:szCs w:val="24"/>
        </w:rPr>
        <w:t>351</w:t>
      </w:r>
      <w:r w:rsidRPr="00855FBA">
        <w:rPr>
          <w:rFonts w:ascii="Calibri" w:hAnsi="Calibri" w:cs="Calibri"/>
          <w:noProof/>
          <w:sz w:val="24"/>
          <w:szCs w:val="24"/>
        </w:rPr>
        <w:t>, 763–775.</w:t>
      </w:r>
    </w:p>
    <w:p w14:paraId="33E56D8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23. Tomizawa,J. and Itoh,T. (1981) Plasmid ColE1 incompatibility determined by interaction of RNA I with primer transcript. </w:t>
      </w:r>
      <w:r w:rsidRPr="00855FBA">
        <w:rPr>
          <w:rFonts w:ascii="Calibri" w:hAnsi="Calibri" w:cs="Calibri"/>
          <w:i/>
          <w:iCs/>
          <w:noProof/>
          <w:sz w:val="24"/>
          <w:szCs w:val="24"/>
        </w:rPr>
        <w:t>Proc. Natl. Acad. Sci.</w:t>
      </w:r>
      <w:r w:rsidRPr="00855FBA">
        <w:rPr>
          <w:rFonts w:ascii="Calibri" w:hAnsi="Calibri" w:cs="Calibri"/>
          <w:noProof/>
          <w:sz w:val="24"/>
          <w:szCs w:val="24"/>
        </w:rPr>
        <w:t xml:space="preserve">, </w:t>
      </w:r>
      <w:r w:rsidRPr="00855FBA">
        <w:rPr>
          <w:rFonts w:ascii="Calibri" w:hAnsi="Calibri" w:cs="Calibri"/>
          <w:b/>
          <w:bCs/>
          <w:noProof/>
          <w:sz w:val="24"/>
          <w:szCs w:val="24"/>
        </w:rPr>
        <w:t>78</w:t>
      </w:r>
      <w:r w:rsidRPr="00855FBA">
        <w:rPr>
          <w:rFonts w:ascii="Calibri" w:hAnsi="Calibri" w:cs="Calibri"/>
          <w:noProof/>
          <w:sz w:val="24"/>
          <w:szCs w:val="24"/>
        </w:rPr>
        <w:t>, 6096–6100.</w:t>
      </w:r>
    </w:p>
    <w:p w14:paraId="03A896F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24. Camps,M. (2010) Modulation of ColE1-like plasmid replication for recombinant gene expression. </w:t>
      </w:r>
      <w:r w:rsidRPr="00855FBA">
        <w:rPr>
          <w:rFonts w:ascii="Calibri" w:hAnsi="Calibri" w:cs="Calibri"/>
          <w:i/>
          <w:iCs/>
          <w:noProof/>
          <w:sz w:val="24"/>
          <w:szCs w:val="24"/>
        </w:rPr>
        <w:t>Recent Patents DNA Gene Seq.</w:t>
      </w:r>
      <w:r w:rsidRPr="00855FBA">
        <w:rPr>
          <w:rFonts w:ascii="Calibri" w:hAnsi="Calibri" w:cs="Calibri"/>
          <w:noProof/>
          <w:sz w:val="24"/>
          <w:szCs w:val="24"/>
        </w:rPr>
        <w:t xml:space="preserve">, </w:t>
      </w:r>
      <w:r w:rsidRPr="00855FBA">
        <w:rPr>
          <w:rFonts w:ascii="Calibri" w:hAnsi="Calibri" w:cs="Calibri"/>
          <w:b/>
          <w:bCs/>
          <w:noProof/>
          <w:sz w:val="24"/>
          <w:szCs w:val="24"/>
        </w:rPr>
        <w:t>4</w:t>
      </w:r>
      <w:r w:rsidRPr="00855FBA">
        <w:rPr>
          <w:rFonts w:ascii="Calibri" w:hAnsi="Calibri" w:cs="Calibri"/>
          <w:noProof/>
          <w:sz w:val="24"/>
          <w:szCs w:val="24"/>
        </w:rPr>
        <w:t>, 58–73.</w:t>
      </w:r>
    </w:p>
    <w:p w14:paraId="75B5167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25. de Lorenzo,V. (2011) Beware of metaphors: Chasses and orthogonality in synthetic biology. </w:t>
      </w:r>
      <w:r w:rsidRPr="00855FBA">
        <w:rPr>
          <w:rFonts w:ascii="Calibri" w:hAnsi="Calibri" w:cs="Calibri"/>
          <w:i/>
          <w:iCs/>
          <w:noProof/>
          <w:sz w:val="24"/>
          <w:szCs w:val="24"/>
        </w:rPr>
        <w:t>Bioeng. Bugs</w:t>
      </w:r>
      <w:r w:rsidRPr="00855FBA">
        <w:rPr>
          <w:rFonts w:ascii="Calibri" w:hAnsi="Calibri" w:cs="Calibri"/>
          <w:noProof/>
          <w:sz w:val="24"/>
          <w:szCs w:val="24"/>
        </w:rPr>
        <w:t xml:space="preserve">, </w:t>
      </w:r>
      <w:r w:rsidRPr="00855FBA">
        <w:rPr>
          <w:rFonts w:ascii="Calibri" w:hAnsi="Calibri" w:cs="Calibri"/>
          <w:b/>
          <w:bCs/>
          <w:noProof/>
          <w:sz w:val="24"/>
          <w:szCs w:val="24"/>
        </w:rPr>
        <w:t>2</w:t>
      </w:r>
      <w:r w:rsidRPr="00855FBA">
        <w:rPr>
          <w:rFonts w:ascii="Calibri" w:hAnsi="Calibri" w:cs="Calibri"/>
          <w:noProof/>
          <w:sz w:val="24"/>
          <w:szCs w:val="24"/>
        </w:rPr>
        <w:t>, 3–7.</w:t>
      </w:r>
    </w:p>
    <w:p w14:paraId="3F2ABF2C"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26. Liu,C.C., Jewett,M.C., Chin,J.W. and Voigt,C.A. (2018) Toward an orthogonal central dogma. </w:t>
      </w:r>
      <w:r w:rsidRPr="00855FBA">
        <w:rPr>
          <w:rFonts w:ascii="Calibri" w:hAnsi="Calibri" w:cs="Calibri"/>
          <w:i/>
          <w:iCs/>
          <w:noProof/>
          <w:sz w:val="24"/>
          <w:szCs w:val="24"/>
        </w:rPr>
        <w:t>Nat. Chem. Biol.</w:t>
      </w:r>
      <w:r w:rsidRPr="00855FBA">
        <w:rPr>
          <w:rFonts w:ascii="Calibri" w:hAnsi="Calibri" w:cs="Calibri"/>
          <w:noProof/>
          <w:sz w:val="24"/>
          <w:szCs w:val="24"/>
        </w:rPr>
        <w:t xml:space="preserve">, </w:t>
      </w:r>
      <w:r w:rsidRPr="00855FBA">
        <w:rPr>
          <w:rFonts w:ascii="Calibri" w:hAnsi="Calibri" w:cs="Calibri"/>
          <w:b/>
          <w:bCs/>
          <w:noProof/>
          <w:sz w:val="24"/>
          <w:szCs w:val="24"/>
        </w:rPr>
        <w:t>14</w:t>
      </w:r>
      <w:r w:rsidRPr="00855FBA">
        <w:rPr>
          <w:rFonts w:ascii="Calibri" w:hAnsi="Calibri" w:cs="Calibri"/>
          <w:noProof/>
          <w:sz w:val="24"/>
          <w:szCs w:val="24"/>
        </w:rPr>
        <w:t>, 103–106.</w:t>
      </w:r>
    </w:p>
    <w:p w14:paraId="65F4D7D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27. Costello,A. and Badran,A.H. (2021) Synthetic Biological Circuits within an Orthogonal Central Dogma. </w:t>
      </w:r>
      <w:r w:rsidRPr="00855FBA">
        <w:rPr>
          <w:rFonts w:ascii="Calibri" w:hAnsi="Calibri" w:cs="Calibri"/>
          <w:i/>
          <w:iCs/>
          <w:noProof/>
          <w:sz w:val="24"/>
          <w:szCs w:val="24"/>
        </w:rPr>
        <w:t>Trends Biotechnol.</w:t>
      </w:r>
      <w:r w:rsidRPr="00855FBA">
        <w:rPr>
          <w:rFonts w:ascii="Calibri" w:hAnsi="Calibri" w:cs="Calibri"/>
          <w:noProof/>
          <w:sz w:val="24"/>
          <w:szCs w:val="24"/>
        </w:rPr>
        <w:t xml:space="preserve">, </w:t>
      </w:r>
      <w:r w:rsidRPr="00855FBA">
        <w:rPr>
          <w:rFonts w:ascii="Calibri" w:hAnsi="Calibri" w:cs="Calibri"/>
          <w:b/>
          <w:bCs/>
          <w:noProof/>
          <w:sz w:val="24"/>
          <w:szCs w:val="24"/>
        </w:rPr>
        <w:t>39</w:t>
      </w:r>
      <w:r w:rsidRPr="00855FBA">
        <w:rPr>
          <w:rFonts w:ascii="Calibri" w:hAnsi="Calibri" w:cs="Calibri"/>
          <w:noProof/>
          <w:sz w:val="24"/>
          <w:szCs w:val="24"/>
        </w:rPr>
        <w:t>, 59–71.</w:t>
      </w:r>
    </w:p>
    <w:p w14:paraId="7D086F26"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28. Torres,L., Krüger,A., Csibra,E., Gianni,E. and Pinheiro,V.B.B. (2016) Synthetic biology approaches to biological containment: Pre-emptively tackling potential risks. </w:t>
      </w:r>
      <w:r w:rsidRPr="00855FBA">
        <w:rPr>
          <w:rFonts w:ascii="Calibri" w:hAnsi="Calibri" w:cs="Calibri"/>
          <w:i/>
          <w:iCs/>
          <w:noProof/>
          <w:sz w:val="24"/>
          <w:szCs w:val="24"/>
        </w:rPr>
        <w:t>Essays Biochem.</w:t>
      </w:r>
      <w:r w:rsidRPr="00855FBA">
        <w:rPr>
          <w:rFonts w:ascii="Calibri" w:hAnsi="Calibri" w:cs="Calibri"/>
          <w:noProof/>
          <w:sz w:val="24"/>
          <w:szCs w:val="24"/>
        </w:rPr>
        <w:t xml:space="preserve">, </w:t>
      </w:r>
      <w:r w:rsidRPr="00855FBA">
        <w:rPr>
          <w:rFonts w:ascii="Calibri" w:hAnsi="Calibri" w:cs="Calibri"/>
          <w:b/>
          <w:bCs/>
          <w:noProof/>
          <w:sz w:val="24"/>
          <w:szCs w:val="24"/>
        </w:rPr>
        <w:t>60</w:t>
      </w:r>
      <w:r w:rsidRPr="00855FBA">
        <w:rPr>
          <w:rFonts w:ascii="Calibri" w:hAnsi="Calibri" w:cs="Calibri"/>
          <w:noProof/>
          <w:sz w:val="24"/>
          <w:szCs w:val="24"/>
        </w:rPr>
        <w:t>.</w:t>
      </w:r>
    </w:p>
    <w:p w14:paraId="479CF92B"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29. Neumann,H., Slusarczyk,A.L. and Chin,J.W. (2010) De novo generation of mutually orthogonal aminoacyl-tRNA synthetase/tRNA pairs. </w:t>
      </w:r>
      <w:r w:rsidRPr="00855FBA">
        <w:rPr>
          <w:rFonts w:ascii="Calibri" w:hAnsi="Calibri" w:cs="Calibri"/>
          <w:i/>
          <w:iCs/>
          <w:noProof/>
          <w:sz w:val="24"/>
          <w:szCs w:val="24"/>
        </w:rPr>
        <w:t>J. Am. Chem. Soc.</w:t>
      </w:r>
      <w:r w:rsidRPr="00855FBA">
        <w:rPr>
          <w:rFonts w:ascii="Calibri" w:hAnsi="Calibri" w:cs="Calibri"/>
          <w:noProof/>
          <w:sz w:val="24"/>
          <w:szCs w:val="24"/>
        </w:rPr>
        <w:t xml:space="preserve">, </w:t>
      </w:r>
      <w:r w:rsidRPr="00855FBA">
        <w:rPr>
          <w:rFonts w:ascii="Calibri" w:hAnsi="Calibri" w:cs="Calibri"/>
          <w:b/>
          <w:bCs/>
          <w:noProof/>
          <w:sz w:val="24"/>
          <w:szCs w:val="24"/>
        </w:rPr>
        <w:t>132</w:t>
      </w:r>
      <w:r w:rsidRPr="00855FBA">
        <w:rPr>
          <w:rFonts w:ascii="Calibri" w:hAnsi="Calibri" w:cs="Calibri"/>
          <w:noProof/>
          <w:sz w:val="24"/>
          <w:szCs w:val="24"/>
        </w:rPr>
        <w:t>, 2142–4.</w:t>
      </w:r>
    </w:p>
    <w:p w14:paraId="6C0FC3E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30. McClune,C.J., Alvarez-Buylla,A., Voigt,C.A. and Laub,M.T. (2019) Engineering orthogonal signalling pathways reveals the sparse occupancy of sequence space. </w:t>
      </w:r>
      <w:r w:rsidRPr="00855FBA">
        <w:rPr>
          <w:rFonts w:ascii="Calibri" w:hAnsi="Calibri" w:cs="Calibri"/>
          <w:i/>
          <w:iCs/>
          <w:noProof/>
          <w:sz w:val="24"/>
          <w:szCs w:val="24"/>
        </w:rPr>
        <w:t>Nature</w:t>
      </w:r>
      <w:r w:rsidRPr="00855FBA">
        <w:rPr>
          <w:rFonts w:ascii="Calibri" w:hAnsi="Calibri" w:cs="Calibri"/>
          <w:noProof/>
          <w:sz w:val="24"/>
          <w:szCs w:val="24"/>
        </w:rPr>
        <w:t xml:space="preserve">, </w:t>
      </w:r>
      <w:r w:rsidRPr="00855FBA">
        <w:rPr>
          <w:rFonts w:ascii="Calibri" w:hAnsi="Calibri" w:cs="Calibri"/>
          <w:b/>
          <w:bCs/>
          <w:noProof/>
          <w:sz w:val="24"/>
          <w:szCs w:val="24"/>
        </w:rPr>
        <w:t>574</w:t>
      </w:r>
      <w:r w:rsidRPr="00855FBA">
        <w:rPr>
          <w:rFonts w:ascii="Calibri" w:hAnsi="Calibri" w:cs="Calibri"/>
          <w:noProof/>
          <w:sz w:val="24"/>
          <w:szCs w:val="24"/>
        </w:rPr>
        <w:t>, 702–706.</w:t>
      </w:r>
    </w:p>
    <w:p w14:paraId="33DB7A97"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31. Padgett,K.A. and Sorge,J.A. (1996) Creating seamless junctions independent of restriction sites in PCR cloning. </w:t>
      </w:r>
      <w:r w:rsidRPr="00855FBA">
        <w:rPr>
          <w:rFonts w:ascii="Calibri" w:hAnsi="Calibri" w:cs="Calibri"/>
          <w:i/>
          <w:iCs/>
          <w:noProof/>
          <w:sz w:val="24"/>
          <w:szCs w:val="24"/>
        </w:rPr>
        <w:t>Gene</w:t>
      </w:r>
      <w:r w:rsidRPr="00855FBA">
        <w:rPr>
          <w:rFonts w:ascii="Calibri" w:hAnsi="Calibri" w:cs="Calibri"/>
          <w:noProof/>
          <w:sz w:val="24"/>
          <w:szCs w:val="24"/>
        </w:rPr>
        <w:t xml:space="preserve">, </w:t>
      </w:r>
      <w:r w:rsidRPr="00855FBA">
        <w:rPr>
          <w:rFonts w:ascii="Calibri" w:hAnsi="Calibri" w:cs="Calibri"/>
          <w:b/>
          <w:bCs/>
          <w:noProof/>
          <w:sz w:val="24"/>
          <w:szCs w:val="24"/>
        </w:rPr>
        <w:t>168</w:t>
      </w:r>
      <w:r w:rsidRPr="00855FBA">
        <w:rPr>
          <w:rFonts w:ascii="Calibri" w:hAnsi="Calibri" w:cs="Calibri"/>
          <w:noProof/>
          <w:sz w:val="24"/>
          <w:szCs w:val="24"/>
        </w:rPr>
        <w:t>, 31–35.</w:t>
      </w:r>
    </w:p>
    <w:p w14:paraId="05FACE7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32. Gibson,D.G., Glass,J.I., Lartigue,C., Noskov,V.N., Chuang,R.-Y., Algire,M.A., Benders,G.A., Montague,M.G., Ma,L., Moodie,M.M., </w:t>
      </w:r>
      <w:r w:rsidRPr="00855FBA">
        <w:rPr>
          <w:rFonts w:ascii="Calibri" w:hAnsi="Calibri" w:cs="Calibri"/>
          <w:i/>
          <w:iCs/>
          <w:noProof/>
          <w:sz w:val="24"/>
          <w:szCs w:val="24"/>
        </w:rPr>
        <w:t>et al.</w:t>
      </w:r>
      <w:r w:rsidRPr="00855FBA">
        <w:rPr>
          <w:rFonts w:ascii="Calibri" w:hAnsi="Calibri" w:cs="Calibri"/>
          <w:noProof/>
          <w:sz w:val="24"/>
          <w:szCs w:val="24"/>
        </w:rPr>
        <w:t xml:space="preserve"> (2010) Creation of a Bacterial Cell </w:t>
      </w:r>
      <w:r w:rsidRPr="00855FBA">
        <w:rPr>
          <w:rFonts w:ascii="Calibri" w:hAnsi="Calibri" w:cs="Calibri"/>
          <w:noProof/>
          <w:sz w:val="24"/>
          <w:szCs w:val="24"/>
        </w:rPr>
        <w:lastRenderedPageBreak/>
        <w:t xml:space="preserve">Controlled by a Chemically Synthesized Genome. </w:t>
      </w:r>
      <w:r w:rsidRPr="00855FBA">
        <w:rPr>
          <w:rFonts w:ascii="Calibri" w:hAnsi="Calibri" w:cs="Calibri"/>
          <w:i/>
          <w:iCs/>
          <w:noProof/>
          <w:sz w:val="24"/>
          <w:szCs w:val="24"/>
        </w:rPr>
        <w:t>Science (80-. ).</w:t>
      </w:r>
      <w:r w:rsidRPr="00855FBA">
        <w:rPr>
          <w:rFonts w:ascii="Calibri" w:hAnsi="Calibri" w:cs="Calibri"/>
          <w:noProof/>
          <w:sz w:val="24"/>
          <w:szCs w:val="24"/>
        </w:rPr>
        <w:t xml:space="preserve">, </w:t>
      </w:r>
      <w:r w:rsidRPr="00855FBA">
        <w:rPr>
          <w:rFonts w:ascii="Calibri" w:hAnsi="Calibri" w:cs="Calibri"/>
          <w:b/>
          <w:bCs/>
          <w:noProof/>
          <w:sz w:val="24"/>
          <w:szCs w:val="24"/>
        </w:rPr>
        <w:t>329</w:t>
      </w:r>
      <w:r w:rsidRPr="00855FBA">
        <w:rPr>
          <w:rFonts w:ascii="Calibri" w:hAnsi="Calibri" w:cs="Calibri"/>
          <w:noProof/>
          <w:sz w:val="24"/>
          <w:szCs w:val="24"/>
        </w:rPr>
        <w:t>, 52–56.</w:t>
      </w:r>
    </w:p>
    <w:p w14:paraId="01D0973C"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33. Chen,W. and Kuo,T. (1993) A simple and rapid method for the preparation of gram-negative bacterial genomic DNA.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21</w:t>
      </w:r>
      <w:r w:rsidRPr="00855FBA">
        <w:rPr>
          <w:rFonts w:ascii="Calibri" w:hAnsi="Calibri" w:cs="Calibri"/>
          <w:noProof/>
          <w:sz w:val="24"/>
          <w:szCs w:val="24"/>
        </w:rPr>
        <w:t>, 2260–2260.</w:t>
      </w:r>
    </w:p>
    <w:p w14:paraId="3A469C0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34. Bhat,S., Herrmann,J., Armishaw,P., Corbisier,P. and Emslie,K.R. (2009) Single molecule detection in nanofluidic digital array enables accurate measurement of DNA copy number. </w:t>
      </w:r>
      <w:r w:rsidRPr="00855FBA">
        <w:rPr>
          <w:rFonts w:ascii="Calibri" w:hAnsi="Calibri" w:cs="Calibri"/>
          <w:i/>
          <w:iCs/>
          <w:noProof/>
          <w:sz w:val="24"/>
          <w:szCs w:val="24"/>
        </w:rPr>
        <w:t>Anal. Bioanal. Chem.</w:t>
      </w:r>
      <w:r w:rsidRPr="00855FBA">
        <w:rPr>
          <w:rFonts w:ascii="Calibri" w:hAnsi="Calibri" w:cs="Calibri"/>
          <w:noProof/>
          <w:sz w:val="24"/>
          <w:szCs w:val="24"/>
        </w:rPr>
        <w:t xml:space="preserve">, </w:t>
      </w:r>
      <w:r w:rsidRPr="00855FBA">
        <w:rPr>
          <w:rFonts w:ascii="Calibri" w:hAnsi="Calibri" w:cs="Calibri"/>
          <w:b/>
          <w:bCs/>
          <w:noProof/>
          <w:sz w:val="24"/>
          <w:szCs w:val="24"/>
        </w:rPr>
        <w:t>394</w:t>
      </w:r>
      <w:r w:rsidRPr="00855FBA">
        <w:rPr>
          <w:rFonts w:ascii="Calibri" w:hAnsi="Calibri" w:cs="Calibri"/>
          <w:noProof/>
          <w:sz w:val="24"/>
          <w:szCs w:val="24"/>
        </w:rPr>
        <w:t>, 457–467.</w:t>
      </w:r>
    </w:p>
    <w:p w14:paraId="41DBCFF2" w14:textId="77777777" w:rsidR="00855FBA" w:rsidRPr="0060708D" w:rsidRDefault="00855FBA" w:rsidP="00855FBA">
      <w:pPr>
        <w:widowControl w:val="0"/>
        <w:autoSpaceDE w:val="0"/>
        <w:autoSpaceDN w:val="0"/>
        <w:adjustRightInd w:val="0"/>
        <w:spacing w:line="360" w:lineRule="auto"/>
        <w:ind w:left="480" w:hanging="480"/>
        <w:rPr>
          <w:rFonts w:ascii="Calibri" w:hAnsi="Calibri" w:cs="Calibri"/>
          <w:noProof/>
          <w:sz w:val="24"/>
          <w:szCs w:val="24"/>
          <w:lang w:val="nl-BE"/>
        </w:rPr>
      </w:pPr>
      <w:r w:rsidRPr="00855FBA">
        <w:rPr>
          <w:rFonts w:ascii="Calibri" w:hAnsi="Calibri" w:cs="Calibri"/>
          <w:noProof/>
          <w:sz w:val="24"/>
          <w:szCs w:val="24"/>
        </w:rPr>
        <w:t xml:space="preserve">35. Heid,C.A., Stevens,J., Livak,K.J. and Williams,P.M. (1996) Real time quantitative PCR. </w:t>
      </w:r>
      <w:r w:rsidRPr="0060708D">
        <w:rPr>
          <w:rFonts w:ascii="Calibri" w:hAnsi="Calibri" w:cs="Calibri"/>
          <w:i/>
          <w:iCs/>
          <w:noProof/>
          <w:sz w:val="24"/>
          <w:szCs w:val="24"/>
          <w:lang w:val="nl-BE"/>
        </w:rPr>
        <w:t>Genome Res.</w:t>
      </w:r>
      <w:r w:rsidRPr="0060708D">
        <w:rPr>
          <w:rFonts w:ascii="Calibri" w:hAnsi="Calibri" w:cs="Calibri"/>
          <w:noProof/>
          <w:sz w:val="24"/>
          <w:szCs w:val="24"/>
          <w:lang w:val="nl-BE"/>
        </w:rPr>
        <w:t xml:space="preserve">, </w:t>
      </w:r>
      <w:r w:rsidRPr="0060708D">
        <w:rPr>
          <w:rFonts w:ascii="Calibri" w:hAnsi="Calibri" w:cs="Calibri"/>
          <w:b/>
          <w:bCs/>
          <w:noProof/>
          <w:sz w:val="24"/>
          <w:szCs w:val="24"/>
          <w:lang w:val="nl-BE"/>
        </w:rPr>
        <w:t>6</w:t>
      </w:r>
      <w:r w:rsidRPr="0060708D">
        <w:rPr>
          <w:rFonts w:ascii="Calibri" w:hAnsi="Calibri" w:cs="Calibri"/>
          <w:noProof/>
          <w:sz w:val="24"/>
          <w:szCs w:val="24"/>
          <w:lang w:val="nl-BE"/>
        </w:rPr>
        <w:t>, 986–994.</w:t>
      </w:r>
    </w:p>
    <w:p w14:paraId="28C551E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60708D">
        <w:rPr>
          <w:rFonts w:ascii="Calibri" w:hAnsi="Calibri" w:cs="Calibri"/>
          <w:noProof/>
          <w:sz w:val="24"/>
          <w:szCs w:val="24"/>
          <w:lang w:val="nl-BE"/>
        </w:rPr>
        <w:t xml:space="preserve">36. Afgan,E., Baker,D., van den Beek,M., Blankenberg,D., Bouvier,D., Čech,M., Chilton,J., Clements,D., Coraor,N., Eberhard,C., </w:t>
      </w:r>
      <w:r w:rsidRPr="0060708D">
        <w:rPr>
          <w:rFonts w:ascii="Calibri" w:hAnsi="Calibri" w:cs="Calibri"/>
          <w:i/>
          <w:iCs/>
          <w:noProof/>
          <w:sz w:val="24"/>
          <w:szCs w:val="24"/>
          <w:lang w:val="nl-BE"/>
        </w:rPr>
        <w:t>et al.</w:t>
      </w:r>
      <w:r w:rsidRPr="0060708D">
        <w:rPr>
          <w:rFonts w:ascii="Calibri" w:hAnsi="Calibri" w:cs="Calibri"/>
          <w:noProof/>
          <w:sz w:val="24"/>
          <w:szCs w:val="24"/>
          <w:lang w:val="nl-BE"/>
        </w:rPr>
        <w:t xml:space="preserve"> </w:t>
      </w:r>
      <w:r w:rsidRPr="00855FBA">
        <w:rPr>
          <w:rFonts w:ascii="Calibri" w:hAnsi="Calibri" w:cs="Calibri"/>
          <w:noProof/>
          <w:sz w:val="24"/>
          <w:szCs w:val="24"/>
        </w:rPr>
        <w:t xml:space="preserve">(2016) The Galaxy platform for accessible, reproducible and collaborative biomedical analyses: 2016 update.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44</w:t>
      </w:r>
      <w:r w:rsidRPr="00855FBA">
        <w:rPr>
          <w:rFonts w:ascii="Calibri" w:hAnsi="Calibri" w:cs="Calibri"/>
          <w:noProof/>
          <w:sz w:val="24"/>
          <w:szCs w:val="24"/>
        </w:rPr>
        <w:t>, W3–W10.</w:t>
      </w:r>
    </w:p>
    <w:p w14:paraId="34E2EBD9"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37. Lorenz,R., Bernhart,S.H., Höner zu Siederdissen,C., Tafer,H., Flamm,C., Stadler,P.F. and Hofacker,I.L. (2011) ViennaRNA Package 2.0. </w:t>
      </w:r>
      <w:r w:rsidRPr="00855FBA">
        <w:rPr>
          <w:rFonts w:ascii="Calibri" w:hAnsi="Calibri" w:cs="Calibri"/>
          <w:i/>
          <w:iCs/>
          <w:noProof/>
          <w:sz w:val="24"/>
          <w:szCs w:val="24"/>
        </w:rPr>
        <w:t>Algorithms Mol. 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26.</w:t>
      </w:r>
    </w:p>
    <w:p w14:paraId="007EA5C6"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38. Gruber,A.R., Lorenz,R., Bernhart,S.H., Neubock,R. and Hofacker,I.L. (2008) The Vienna RNA Websuite.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36</w:t>
      </w:r>
      <w:r w:rsidRPr="00855FBA">
        <w:rPr>
          <w:rFonts w:ascii="Calibri" w:hAnsi="Calibri" w:cs="Calibri"/>
          <w:noProof/>
          <w:sz w:val="24"/>
          <w:szCs w:val="24"/>
        </w:rPr>
        <w:t>, W70–W74.</w:t>
      </w:r>
    </w:p>
    <w:p w14:paraId="15AA4A6A"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39. Kerpedjiev,P., Hammer,S. and Hofacker,I.L. (2015) Forna (force-directed RNA): Simple and effective online RNA secondary structure diagrams. </w:t>
      </w:r>
      <w:r w:rsidRPr="00855FBA">
        <w:rPr>
          <w:rFonts w:ascii="Calibri" w:hAnsi="Calibri" w:cs="Calibri"/>
          <w:i/>
          <w:iCs/>
          <w:noProof/>
          <w:sz w:val="24"/>
          <w:szCs w:val="24"/>
        </w:rPr>
        <w:t>Bioinformatics</w:t>
      </w:r>
      <w:r w:rsidRPr="00855FBA">
        <w:rPr>
          <w:rFonts w:ascii="Calibri" w:hAnsi="Calibri" w:cs="Calibri"/>
          <w:noProof/>
          <w:sz w:val="24"/>
          <w:szCs w:val="24"/>
        </w:rPr>
        <w:t xml:space="preserve">, </w:t>
      </w:r>
      <w:r w:rsidRPr="00855FBA">
        <w:rPr>
          <w:rFonts w:ascii="Calibri" w:hAnsi="Calibri" w:cs="Calibri"/>
          <w:b/>
          <w:bCs/>
          <w:noProof/>
          <w:sz w:val="24"/>
          <w:szCs w:val="24"/>
        </w:rPr>
        <w:t>31</w:t>
      </w:r>
      <w:r w:rsidRPr="00855FBA">
        <w:rPr>
          <w:rFonts w:ascii="Calibri" w:hAnsi="Calibri" w:cs="Calibri"/>
          <w:noProof/>
          <w:sz w:val="24"/>
          <w:szCs w:val="24"/>
        </w:rPr>
        <w:t>, 3377–3379.</w:t>
      </w:r>
    </w:p>
    <w:p w14:paraId="40F581C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40. Tizei,P.A.G., Csibra,E., Torres,L. and Pinheiro,V.B. (2016) Selection platforms for directed evolution in synthetic biology. </w:t>
      </w:r>
      <w:r w:rsidRPr="00855FBA">
        <w:rPr>
          <w:rFonts w:ascii="Calibri" w:hAnsi="Calibri" w:cs="Calibri"/>
          <w:i/>
          <w:iCs/>
          <w:noProof/>
          <w:sz w:val="24"/>
          <w:szCs w:val="24"/>
        </w:rPr>
        <w:t>Biochem. Soc. Trans.</w:t>
      </w:r>
      <w:r w:rsidRPr="00855FBA">
        <w:rPr>
          <w:rFonts w:ascii="Calibri" w:hAnsi="Calibri" w:cs="Calibri"/>
          <w:noProof/>
          <w:sz w:val="24"/>
          <w:szCs w:val="24"/>
        </w:rPr>
        <w:t xml:space="preserve">, </w:t>
      </w:r>
      <w:r w:rsidRPr="00855FBA">
        <w:rPr>
          <w:rFonts w:ascii="Calibri" w:hAnsi="Calibri" w:cs="Calibri"/>
          <w:b/>
          <w:bCs/>
          <w:noProof/>
          <w:sz w:val="24"/>
          <w:szCs w:val="24"/>
        </w:rPr>
        <w:t>44</w:t>
      </w:r>
      <w:r w:rsidRPr="00855FBA">
        <w:rPr>
          <w:rFonts w:ascii="Calibri" w:hAnsi="Calibri" w:cs="Calibri"/>
          <w:noProof/>
          <w:sz w:val="24"/>
          <w:szCs w:val="24"/>
        </w:rPr>
        <w:t>.</w:t>
      </w:r>
    </w:p>
    <w:p w14:paraId="25816AC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41. Masukata,H. and Tomizawa,J. (1990) A mechanism of formation of a persistent hybrid between elongating RNA and template DNA. </w:t>
      </w:r>
      <w:r w:rsidRPr="00855FBA">
        <w:rPr>
          <w:rFonts w:ascii="Calibri" w:hAnsi="Calibri" w:cs="Calibri"/>
          <w:i/>
          <w:iCs/>
          <w:noProof/>
          <w:sz w:val="24"/>
          <w:szCs w:val="24"/>
        </w:rPr>
        <w:t>Cell</w:t>
      </w:r>
      <w:r w:rsidRPr="00855FBA">
        <w:rPr>
          <w:rFonts w:ascii="Calibri" w:hAnsi="Calibri" w:cs="Calibri"/>
          <w:noProof/>
          <w:sz w:val="24"/>
          <w:szCs w:val="24"/>
        </w:rPr>
        <w:t xml:space="preserve">, </w:t>
      </w:r>
      <w:r w:rsidRPr="00855FBA">
        <w:rPr>
          <w:rFonts w:ascii="Calibri" w:hAnsi="Calibri" w:cs="Calibri"/>
          <w:b/>
          <w:bCs/>
          <w:noProof/>
          <w:sz w:val="24"/>
          <w:szCs w:val="24"/>
        </w:rPr>
        <w:t>62</w:t>
      </w:r>
      <w:r w:rsidRPr="00855FBA">
        <w:rPr>
          <w:rFonts w:ascii="Calibri" w:hAnsi="Calibri" w:cs="Calibri"/>
          <w:noProof/>
          <w:sz w:val="24"/>
          <w:szCs w:val="24"/>
        </w:rPr>
        <w:t>, 331–338.</w:t>
      </w:r>
    </w:p>
    <w:p w14:paraId="70EA399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42. Lorenz,R., Bernhart,S.H., Höner zu Siederdissen,C., Tafer,H., Flamm,C., Stadler,P.F. and Hofacker,I.L. (2011) ViennaRNA Package 2.0. </w:t>
      </w:r>
      <w:r w:rsidRPr="00855FBA">
        <w:rPr>
          <w:rFonts w:ascii="Calibri" w:hAnsi="Calibri" w:cs="Calibri"/>
          <w:i/>
          <w:iCs/>
          <w:noProof/>
          <w:sz w:val="24"/>
          <w:szCs w:val="24"/>
        </w:rPr>
        <w:t>Algorithms Mol. 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1–14.</w:t>
      </w:r>
    </w:p>
    <w:p w14:paraId="64B06C3C"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43. Hoesl,M.G., Oehm,S., Durkin,P., Darmon,E., Peil,L., Aerni,H.-R., Rappsilber,J., Rinehart,J., Leach,D., Söll,D., </w:t>
      </w:r>
      <w:r w:rsidRPr="00855FBA">
        <w:rPr>
          <w:rFonts w:ascii="Calibri" w:hAnsi="Calibri" w:cs="Calibri"/>
          <w:i/>
          <w:iCs/>
          <w:noProof/>
          <w:sz w:val="24"/>
          <w:szCs w:val="24"/>
        </w:rPr>
        <w:t>et al.</w:t>
      </w:r>
      <w:r w:rsidRPr="00855FBA">
        <w:rPr>
          <w:rFonts w:ascii="Calibri" w:hAnsi="Calibri" w:cs="Calibri"/>
          <w:noProof/>
          <w:sz w:val="24"/>
          <w:szCs w:val="24"/>
        </w:rPr>
        <w:t xml:space="preserve"> (2015) Chemical Evolution of a Bacterial Proteome. </w:t>
      </w:r>
      <w:r w:rsidRPr="00855FBA">
        <w:rPr>
          <w:rFonts w:ascii="Calibri" w:hAnsi="Calibri" w:cs="Calibri"/>
          <w:i/>
          <w:iCs/>
          <w:noProof/>
          <w:sz w:val="24"/>
          <w:szCs w:val="24"/>
        </w:rPr>
        <w:t>Angew. Chemie Int. Ed.</w:t>
      </w:r>
      <w:r w:rsidRPr="00855FBA">
        <w:rPr>
          <w:rFonts w:ascii="Calibri" w:hAnsi="Calibri" w:cs="Calibri"/>
          <w:noProof/>
          <w:sz w:val="24"/>
          <w:szCs w:val="24"/>
        </w:rPr>
        <w:t xml:space="preserve">, </w:t>
      </w:r>
      <w:r w:rsidRPr="00855FBA">
        <w:rPr>
          <w:rFonts w:ascii="Calibri" w:hAnsi="Calibri" w:cs="Calibri"/>
          <w:b/>
          <w:bCs/>
          <w:noProof/>
          <w:sz w:val="24"/>
          <w:szCs w:val="24"/>
        </w:rPr>
        <w:t>54</w:t>
      </w:r>
      <w:r w:rsidRPr="00855FBA">
        <w:rPr>
          <w:rFonts w:ascii="Calibri" w:hAnsi="Calibri" w:cs="Calibri"/>
          <w:noProof/>
          <w:sz w:val="24"/>
          <w:szCs w:val="24"/>
        </w:rPr>
        <w:t>, 10030–10034.</w:t>
      </w:r>
    </w:p>
    <w:p w14:paraId="5F3528EA"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lastRenderedPageBreak/>
        <w:t xml:space="preserve">44. Bao,L., Menon,P.N.K., Liljeruhm,J. and Forster,A.C. (2020) Overcoming chromoprotein limitations by engineering a red fluorescent protein. </w:t>
      </w:r>
      <w:r w:rsidRPr="00855FBA">
        <w:rPr>
          <w:rFonts w:ascii="Calibri" w:hAnsi="Calibri" w:cs="Calibri"/>
          <w:i/>
          <w:iCs/>
          <w:noProof/>
          <w:sz w:val="24"/>
          <w:szCs w:val="24"/>
        </w:rPr>
        <w:t>Anal. Biochem.</w:t>
      </w:r>
      <w:r w:rsidRPr="00855FBA">
        <w:rPr>
          <w:rFonts w:ascii="Calibri" w:hAnsi="Calibri" w:cs="Calibri"/>
          <w:noProof/>
          <w:sz w:val="24"/>
          <w:szCs w:val="24"/>
        </w:rPr>
        <w:t xml:space="preserve">, </w:t>
      </w:r>
      <w:r w:rsidRPr="00855FBA">
        <w:rPr>
          <w:rFonts w:ascii="Calibri" w:hAnsi="Calibri" w:cs="Calibri"/>
          <w:b/>
          <w:bCs/>
          <w:noProof/>
          <w:sz w:val="24"/>
          <w:szCs w:val="24"/>
        </w:rPr>
        <w:t>611</w:t>
      </w:r>
      <w:r w:rsidRPr="00855FBA">
        <w:rPr>
          <w:rFonts w:ascii="Calibri" w:hAnsi="Calibri" w:cs="Calibri"/>
          <w:noProof/>
          <w:sz w:val="24"/>
          <w:szCs w:val="24"/>
        </w:rPr>
        <w:t>, 113936.</w:t>
      </w:r>
    </w:p>
    <w:p w14:paraId="156F8129"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45. Shaner,N.C., Steinbach,P.A. and Tsien,R.Y. (2005) A guide to choosing fluorescent proteins. </w:t>
      </w:r>
      <w:r w:rsidRPr="00855FBA">
        <w:rPr>
          <w:rFonts w:ascii="Calibri" w:hAnsi="Calibri" w:cs="Calibri"/>
          <w:i/>
          <w:iCs/>
          <w:noProof/>
          <w:sz w:val="24"/>
          <w:szCs w:val="24"/>
        </w:rPr>
        <w:t>Nat. Methods</w:t>
      </w:r>
      <w:r w:rsidRPr="00855FBA">
        <w:rPr>
          <w:rFonts w:ascii="Calibri" w:hAnsi="Calibri" w:cs="Calibri"/>
          <w:noProof/>
          <w:sz w:val="24"/>
          <w:szCs w:val="24"/>
        </w:rPr>
        <w:t xml:space="preserve">, </w:t>
      </w:r>
      <w:r w:rsidRPr="00855FBA">
        <w:rPr>
          <w:rFonts w:ascii="Calibri" w:hAnsi="Calibri" w:cs="Calibri"/>
          <w:b/>
          <w:bCs/>
          <w:noProof/>
          <w:sz w:val="24"/>
          <w:szCs w:val="24"/>
        </w:rPr>
        <w:t>2</w:t>
      </w:r>
      <w:r w:rsidRPr="00855FBA">
        <w:rPr>
          <w:rFonts w:ascii="Calibri" w:hAnsi="Calibri" w:cs="Calibri"/>
          <w:noProof/>
          <w:sz w:val="24"/>
          <w:szCs w:val="24"/>
        </w:rPr>
        <w:t>, 905–909.</w:t>
      </w:r>
    </w:p>
    <w:p w14:paraId="71BAC7C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46. Jahn,M., Vorpahl,C., Hübschmann,T., Harms,H. and Müller,S. (2016) Copy number variability of expression plasmids determined by cell sorting and Droplet Digital PCR. </w:t>
      </w:r>
      <w:r w:rsidRPr="00855FBA">
        <w:rPr>
          <w:rFonts w:ascii="Calibri" w:hAnsi="Calibri" w:cs="Calibri"/>
          <w:i/>
          <w:iCs/>
          <w:noProof/>
          <w:sz w:val="24"/>
          <w:szCs w:val="24"/>
        </w:rPr>
        <w:t>Microb. Cell Fact.</w:t>
      </w:r>
      <w:r w:rsidRPr="00855FBA">
        <w:rPr>
          <w:rFonts w:ascii="Calibri" w:hAnsi="Calibri" w:cs="Calibri"/>
          <w:noProof/>
          <w:sz w:val="24"/>
          <w:szCs w:val="24"/>
        </w:rPr>
        <w:t xml:space="preserve">, </w:t>
      </w:r>
      <w:r w:rsidRPr="00855FBA">
        <w:rPr>
          <w:rFonts w:ascii="Calibri" w:hAnsi="Calibri" w:cs="Calibri"/>
          <w:b/>
          <w:bCs/>
          <w:noProof/>
          <w:sz w:val="24"/>
          <w:szCs w:val="24"/>
        </w:rPr>
        <w:t>15</w:t>
      </w:r>
      <w:r w:rsidRPr="00855FBA">
        <w:rPr>
          <w:rFonts w:ascii="Calibri" w:hAnsi="Calibri" w:cs="Calibri"/>
          <w:noProof/>
          <w:sz w:val="24"/>
          <w:szCs w:val="24"/>
        </w:rPr>
        <w:t>, 211.</w:t>
      </w:r>
    </w:p>
    <w:p w14:paraId="258FEF5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47. Grabherr,R., Nilsson,E., Striedner,G. and Bayer,K. (2002) Stabilizing plasmid copy number to improve recombinant protein production. </w:t>
      </w:r>
      <w:r w:rsidRPr="00855FBA">
        <w:rPr>
          <w:rFonts w:ascii="Calibri" w:hAnsi="Calibri" w:cs="Calibri"/>
          <w:i/>
          <w:iCs/>
          <w:noProof/>
          <w:sz w:val="24"/>
          <w:szCs w:val="24"/>
        </w:rPr>
        <w:t>Biotechnol. Bioeng.</w:t>
      </w:r>
      <w:r w:rsidRPr="00855FBA">
        <w:rPr>
          <w:rFonts w:ascii="Calibri" w:hAnsi="Calibri" w:cs="Calibri"/>
          <w:noProof/>
          <w:sz w:val="24"/>
          <w:szCs w:val="24"/>
        </w:rPr>
        <w:t xml:space="preserve">, </w:t>
      </w:r>
      <w:r w:rsidRPr="00855FBA">
        <w:rPr>
          <w:rFonts w:ascii="Calibri" w:hAnsi="Calibri" w:cs="Calibri"/>
          <w:b/>
          <w:bCs/>
          <w:noProof/>
          <w:sz w:val="24"/>
          <w:szCs w:val="24"/>
        </w:rPr>
        <w:t>77</w:t>
      </w:r>
      <w:r w:rsidRPr="00855FBA">
        <w:rPr>
          <w:rFonts w:ascii="Calibri" w:hAnsi="Calibri" w:cs="Calibri"/>
          <w:noProof/>
          <w:sz w:val="24"/>
          <w:szCs w:val="24"/>
        </w:rPr>
        <w:t>, 142–147.</w:t>
      </w:r>
    </w:p>
    <w:p w14:paraId="1DDED89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48. Wróbel,B. and Wȩ,G. (1998) Replication Regulation of ColE1-like Plasmids in Amino Acid-StarvedEscherichia coli. </w:t>
      </w:r>
      <w:r w:rsidRPr="00855FBA">
        <w:rPr>
          <w:rFonts w:ascii="Calibri" w:hAnsi="Calibri" w:cs="Calibri"/>
          <w:i/>
          <w:iCs/>
          <w:noProof/>
          <w:sz w:val="24"/>
          <w:szCs w:val="24"/>
        </w:rPr>
        <w:t>Plasmid</w:t>
      </w:r>
      <w:r w:rsidRPr="00855FBA">
        <w:rPr>
          <w:rFonts w:ascii="Calibri" w:hAnsi="Calibri" w:cs="Calibri"/>
          <w:noProof/>
          <w:sz w:val="24"/>
          <w:szCs w:val="24"/>
        </w:rPr>
        <w:t xml:space="preserve">, </w:t>
      </w:r>
      <w:r w:rsidRPr="00855FBA">
        <w:rPr>
          <w:rFonts w:ascii="Calibri" w:hAnsi="Calibri" w:cs="Calibri"/>
          <w:b/>
          <w:bCs/>
          <w:noProof/>
          <w:sz w:val="24"/>
          <w:szCs w:val="24"/>
        </w:rPr>
        <w:t>39</w:t>
      </w:r>
      <w:r w:rsidRPr="00855FBA">
        <w:rPr>
          <w:rFonts w:ascii="Calibri" w:hAnsi="Calibri" w:cs="Calibri"/>
          <w:noProof/>
          <w:sz w:val="24"/>
          <w:szCs w:val="24"/>
        </w:rPr>
        <w:t>, 48–62.</w:t>
      </w:r>
    </w:p>
    <w:p w14:paraId="09271057"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49. Wein,T., Hülter,N.F., Mizrahi,I. and Dagan,T. (2019) Emergence of plasmid stability under non-selective conditions maintains antibiotic resistance. </w:t>
      </w:r>
      <w:r w:rsidRPr="00855FBA">
        <w:rPr>
          <w:rFonts w:ascii="Calibri" w:hAnsi="Calibri" w:cs="Calibri"/>
          <w:i/>
          <w:iCs/>
          <w:noProof/>
          <w:sz w:val="24"/>
          <w:szCs w:val="24"/>
        </w:rPr>
        <w:t>Nat. Commun.</w:t>
      </w:r>
      <w:r w:rsidRPr="00855FBA">
        <w:rPr>
          <w:rFonts w:ascii="Calibri" w:hAnsi="Calibri" w:cs="Calibri"/>
          <w:noProof/>
          <w:sz w:val="24"/>
          <w:szCs w:val="24"/>
        </w:rPr>
        <w:t xml:space="preserve">, </w:t>
      </w:r>
      <w:r w:rsidRPr="00855FBA">
        <w:rPr>
          <w:rFonts w:ascii="Calibri" w:hAnsi="Calibri" w:cs="Calibri"/>
          <w:b/>
          <w:bCs/>
          <w:noProof/>
          <w:sz w:val="24"/>
          <w:szCs w:val="24"/>
        </w:rPr>
        <w:t>10</w:t>
      </w:r>
      <w:r w:rsidRPr="00855FBA">
        <w:rPr>
          <w:rFonts w:ascii="Calibri" w:hAnsi="Calibri" w:cs="Calibri"/>
          <w:noProof/>
          <w:sz w:val="24"/>
          <w:szCs w:val="24"/>
        </w:rPr>
        <w:t>, 2595.</w:t>
      </w:r>
    </w:p>
    <w:p w14:paraId="3AAA8F0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50. MacLean,R.C. and San Millan,A. (2015) Microbial Evolution: Towards Resolving the Plasmid Paradox. </w:t>
      </w:r>
      <w:r w:rsidRPr="00855FBA">
        <w:rPr>
          <w:rFonts w:ascii="Calibri" w:hAnsi="Calibri" w:cs="Calibri"/>
          <w:i/>
          <w:iCs/>
          <w:noProof/>
          <w:sz w:val="24"/>
          <w:szCs w:val="24"/>
        </w:rPr>
        <w:t>Curr. Biol.</w:t>
      </w:r>
      <w:r w:rsidRPr="00855FBA">
        <w:rPr>
          <w:rFonts w:ascii="Calibri" w:hAnsi="Calibri" w:cs="Calibri"/>
          <w:noProof/>
          <w:sz w:val="24"/>
          <w:szCs w:val="24"/>
        </w:rPr>
        <w:t xml:space="preserve">, </w:t>
      </w:r>
      <w:r w:rsidRPr="00855FBA">
        <w:rPr>
          <w:rFonts w:ascii="Calibri" w:hAnsi="Calibri" w:cs="Calibri"/>
          <w:b/>
          <w:bCs/>
          <w:noProof/>
          <w:sz w:val="24"/>
          <w:szCs w:val="24"/>
        </w:rPr>
        <w:t>25</w:t>
      </w:r>
      <w:r w:rsidRPr="00855FBA">
        <w:rPr>
          <w:rFonts w:ascii="Calibri" w:hAnsi="Calibri" w:cs="Calibri"/>
          <w:noProof/>
          <w:sz w:val="24"/>
          <w:szCs w:val="24"/>
        </w:rPr>
        <w:t>, R764–R767.</w:t>
      </w:r>
    </w:p>
    <w:p w14:paraId="3C3DECF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51. Liu,C.C., Jewett,M.C., Chin,J.W. and Voigt,C.A. (2018) Toward an orthogonal central dogma. </w:t>
      </w:r>
      <w:r w:rsidRPr="00855FBA">
        <w:rPr>
          <w:rFonts w:ascii="Calibri" w:hAnsi="Calibri" w:cs="Calibri"/>
          <w:i/>
          <w:iCs/>
          <w:noProof/>
          <w:sz w:val="24"/>
          <w:szCs w:val="24"/>
        </w:rPr>
        <w:t>Nat. Chem. Biol.</w:t>
      </w:r>
      <w:r w:rsidRPr="00855FBA">
        <w:rPr>
          <w:rFonts w:ascii="Calibri" w:hAnsi="Calibri" w:cs="Calibri"/>
          <w:noProof/>
          <w:sz w:val="24"/>
          <w:szCs w:val="24"/>
        </w:rPr>
        <w:t xml:space="preserve">, </w:t>
      </w:r>
      <w:r w:rsidRPr="00855FBA">
        <w:rPr>
          <w:rFonts w:ascii="Calibri" w:hAnsi="Calibri" w:cs="Calibri"/>
          <w:b/>
          <w:bCs/>
          <w:noProof/>
          <w:sz w:val="24"/>
          <w:szCs w:val="24"/>
        </w:rPr>
        <w:t>14</w:t>
      </w:r>
      <w:r w:rsidRPr="00855FBA">
        <w:rPr>
          <w:rFonts w:ascii="Calibri" w:hAnsi="Calibri" w:cs="Calibri"/>
          <w:noProof/>
          <w:sz w:val="24"/>
          <w:szCs w:val="24"/>
        </w:rPr>
        <w:t>, 103–106.</w:t>
      </w:r>
    </w:p>
    <w:p w14:paraId="2EB79485"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rPr>
      </w:pPr>
      <w:r w:rsidRPr="00855FBA">
        <w:rPr>
          <w:rFonts w:ascii="Calibri" w:hAnsi="Calibri" w:cs="Calibri"/>
          <w:noProof/>
          <w:sz w:val="24"/>
          <w:szCs w:val="24"/>
        </w:rPr>
        <w:t xml:space="preserve">52. de Lorenzo,V. (2011) Beware of metaphors: Chasses and orthogonality in synthetic biology. </w:t>
      </w:r>
      <w:r w:rsidRPr="00855FBA">
        <w:rPr>
          <w:rFonts w:ascii="Calibri" w:hAnsi="Calibri" w:cs="Calibri"/>
          <w:i/>
          <w:iCs/>
          <w:noProof/>
          <w:sz w:val="24"/>
          <w:szCs w:val="24"/>
        </w:rPr>
        <w:t>Bioeng. Bugs</w:t>
      </w:r>
      <w:r w:rsidRPr="00855FBA">
        <w:rPr>
          <w:rFonts w:ascii="Calibri" w:hAnsi="Calibri" w:cs="Calibri"/>
          <w:noProof/>
          <w:sz w:val="24"/>
          <w:szCs w:val="24"/>
        </w:rPr>
        <w:t xml:space="preserve">, </w:t>
      </w:r>
      <w:r w:rsidRPr="00855FBA">
        <w:rPr>
          <w:rFonts w:ascii="Calibri" w:hAnsi="Calibri" w:cs="Calibri"/>
          <w:b/>
          <w:bCs/>
          <w:noProof/>
          <w:sz w:val="24"/>
          <w:szCs w:val="24"/>
        </w:rPr>
        <w:t>2</w:t>
      </w:r>
      <w:r w:rsidRPr="00855FBA">
        <w:rPr>
          <w:rFonts w:ascii="Calibri" w:hAnsi="Calibri" w:cs="Calibri"/>
          <w:noProof/>
          <w:sz w:val="24"/>
          <w:szCs w:val="24"/>
        </w:rPr>
        <w:t>, 3–7.</w:t>
      </w:r>
    </w:p>
    <w:p w14:paraId="57BF6306" w14:textId="714A66C3" w:rsidR="00BD5828" w:rsidRPr="00627126" w:rsidRDefault="00BD5828">
      <w:pPr>
        <w:spacing w:line="360" w:lineRule="auto"/>
        <w:jc w:val="both"/>
        <w:rPr>
          <w:sz w:val="24"/>
          <w:szCs w:val="24"/>
        </w:rPr>
      </w:pPr>
      <w:r>
        <w:rPr>
          <w:sz w:val="24"/>
          <w:szCs w:val="24"/>
        </w:rPr>
        <w:fldChar w:fldCharType="end"/>
      </w:r>
    </w:p>
    <w:sectPr w:rsidR="00BD5828" w:rsidRPr="006271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592"/>
    <w:rsid w:val="00000A2A"/>
    <w:rsid w:val="00001603"/>
    <w:rsid w:val="00001760"/>
    <w:rsid w:val="00003F1F"/>
    <w:rsid w:val="00006566"/>
    <w:rsid w:val="00006BAA"/>
    <w:rsid w:val="0001075A"/>
    <w:rsid w:val="00015627"/>
    <w:rsid w:val="00015FB9"/>
    <w:rsid w:val="00017410"/>
    <w:rsid w:val="000200BA"/>
    <w:rsid w:val="000204AD"/>
    <w:rsid w:val="00020A3D"/>
    <w:rsid w:val="00021118"/>
    <w:rsid w:val="00022BA4"/>
    <w:rsid w:val="0002336E"/>
    <w:rsid w:val="00030479"/>
    <w:rsid w:val="0003338E"/>
    <w:rsid w:val="00034258"/>
    <w:rsid w:val="00035766"/>
    <w:rsid w:val="00036916"/>
    <w:rsid w:val="0003740E"/>
    <w:rsid w:val="00040010"/>
    <w:rsid w:val="000402C0"/>
    <w:rsid w:val="00040B8B"/>
    <w:rsid w:val="00042F9A"/>
    <w:rsid w:val="000441F1"/>
    <w:rsid w:val="00045E9E"/>
    <w:rsid w:val="0004757D"/>
    <w:rsid w:val="00047861"/>
    <w:rsid w:val="00050466"/>
    <w:rsid w:val="00053503"/>
    <w:rsid w:val="000535E2"/>
    <w:rsid w:val="00053DF5"/>
    <w:rsid w:val="000557FA"/>
    <w:rsid w:val="000569F8"/>
    <w:rsid w:val="00057BE9"/>
    <w:rsid w:val="00060109"/>
    <w:rsid w:val="0006024C"/>
    <w:rsid w:val="00060FC1"/>
    <w:rsid w:val="000665BC"/>
    <w:rsid w:val="000717DB"/>
    <w:rsid w:val="00072DF5"/>
    <w:rsid w:val="000730AB"/>
    <w:rsid w:val="00073AA0"/>
    <w:rsid w:val="00074817"/>
    <w:rsid w:val="00074FE1"/>
    <w:rsid w:val="0007572B"/>
    <w:rsid w:val="000759A8"/>
    <w:rsid w:val="00076A77"/>
    <w:rsid w:val="00081C66"/>
    <w:rsid w:val="00084D4C"/>
    <w:rsid w:val="000862AC"/>
    <w:rsid w:val="00087049"/>
    <w:rsid w:val="0008754B"/>
    <w:rsid w:val="000964BF"/>
    <w:rsid w:val="00097747"/>
    <w:rsid w:val="000A00E7"/>
    <w:rsid w:val="000A28AD"/>
    <w:rsid w:val="000A70D9"/>
    <w:rsid w:val="000A7F32"/>
    <w:rsid w:val="000B0FB4"/>
    <w:rsid w:val="000B2B7B"/>
    <w:rsid w:val="000B3664"/>
    <w:rsid w:val="000B3FE2"/>
    <w:rsid w:val="000B62CB"/>
    <w:rsid w:val="000B6502"/>
    <w:rsid w:val="000B6C44"/>
    <w:rsid w:val="000B6EE5"/>
    <w:rsid w:val="000C0A63"/>
    <w:rsid w:val="000C0CE9"/>
    <w:rsid w:val="000C30AC"/>
    <w:rsid w:val="000C32E5"/>
    <w:rsid w:val="000C439B"/>
    <w:rsid w:val="000C6AC9"/>
    <w:rsid w:val="000C7836"/>
    <w:rsid w:val="000D1C31"/>
    <w:rsid w:val="000D21CE"/>
    <w:rsid w:val="000D27D3"/>
    <w:rsid w:val="000D5459"/>
    <w:rsid w:val="000D6960"/>
    <w:rsid w:val="000D6DA0"/>
    <w:rsid w:val="000D709D"/>
    <w:rsid w:val="000E3644"/>
    <w:rsid w:val="000E585B"/>
    <w:rsid w:val="000E58B5"/>
    <w:rsid w:val="000E6B04"/>
    <w:rsid w:val="000E7E5E"/>
    <w:rsid w:val="000E7F34"/>
    <w:rsid w:val="000F2490"/>
    <w:rsid w:val="000F4F69"/>
    <w:rsid w:val="000F5B36"/>
    <w:rsid w:val="000F5FD2"/>
    <w:rsid w:val="000F78D0"/>
    <w:rsid w:val="0010035B"/>
    <w:rsid w:val="00101340"/>
    <w:rsid w:val="00102359"/>
    <w:rsid w:val="00104E56"/>
    <w:rsid w:val="00105DBD"/>
    <w:rsid w:val="0010695D"/>
    <w:rsid w:val="001074B8"/>
    <w:rsid w:val="00107633"/>
    <w:rsid w:val="001112B2"/>
    <w:rsid w:val="00111AB4"/>
    <w:rsid w:val="00111E6A"/>
    <w:rsid w:val="001141CE"/>
    <w:rsid w:val="00114B5E"/>
    <w:rsid w:val="00115C79"/>
    <w:rsid w:val="00115FB1"/>
    <w:rsid w:val="00117C16"/>
    <w:rsid w:val="00117C9E"/>
    <w:rsid w:val="00120EFE"/>
    <w:rsid w:val="001212C4"/>
    <w:rsid w:val="00122488"/>
    <w:rsid w:val="00122BE0"/>
    <w:rsid w:val="00122C62"/>
    <w:rsid w:val="00124625"/>
    <w:rsid w:val="001268BF"/>
    <w:rsid w:val="00126DFD"/>
    <w:rsid w:val="00126E73"/>
    <w:rsid w:val="00133F4D"/>
    <w:rsid w:val="00133F76"/>
    <w:rsid w:val="001342CA"/>
    <w:rsid w:val="001353F3"/>
    <w:rsid w:val="0013791C"/>
    <w:rsid w:val="00140459"/>
    <w:rsid w:val="0014475D"/>
    <w:rsid w:val="0014559F"/>
    <w:rsid w:val="00146DA5"/>
    <w:rsid w:val="00147E3C"/>
    <w:rsid w:val="00150CB7"/>
    <w:rsid w:val="0015104E"/>
    <w:rsid w:val="001528C4"/>
    <w:rsid w:val="00152A09"/>
    <w:rsid w:val="00153341"/>
    <w:rsid w:val="001548DA"/>
    <w:rsid w:val="001559DE"/>
    <w:rsid w:val="001563C6"/>
    <w:rsid w:val="001616B1"/>
    <w:rsid w:val="001641BC"/>
    <w:rsid w:val="00164234"/>
    <w:rsid w:val="0016442E"/>
    <w:rsid w:val="001652D1"/>
    <w:rsid w:val="00165351"/>
    <w:rsid w:val="00167B6C"/>
    <w:rsid w:val="0017128C"/>
    <w:rsid w:val="00174861"/>
    <w:rsid w:val="00175E15"/>
    <w:rsid w:val="00185A3C"/>
    <w:rsid w:val="00186F9E"/>
    <w:rsid w:val="001870B5"/>
    <w:rsid w:val="00190F9E"/>
    <w:rsid w:val="0019104C"/>
    <w:rsid w:val="00191A36"/>
    <w:rsid w:val="00194A96"/>
    <w:rsid w:val="00195FCE"/>
    <w:rsid w:val="001A005C"/>
    <w:rsid w:val="001A00E2"/>
    <w:rsid w:val="001A0E87"/>
    <w:rsid w:val="001A17CD"/>
    <w:rsid w:val="001A2738"/>
    <w:rsid w:val="001A29B3"/>
    <w:rsid w:val="001A74F9"/>
    <w:rsid w:val="001B133A"/>
    <w:rsid w:val="001B626A"/>
    <w:rsid w:val="001B7C90"/>
    <w:rsid w:val="001C007B"/>
    <w:rsid w:val="001D189F"/>
    <w:rsid w:val="001D4EF9"/>
    <w:rsid w:val="001D4FD4"/>
    <w:rsid w:val="001D6990"/>
    <w:rsid w:val="001E0ABA"/>
    <w:rsid w:val="001E0C3F"/>
    <w:rsid w:val="001E1CF5"/>
    <w:rsid w:val="001E22D0"/>
    <w:rsid w:val="001E4BAF"/>
    <w:rsid w:val="001E4F31"/>
    <w:rsid w:val="001E58F4"/>
    <w:rsid w:val="001F02BD"/>
    <w:rsid w:val="001F14D3"/>
    <w:rsid w:val="001F2579"/>
    <w:rsid w:val="001F300F"/>
    <w:rsid w:val="001F3C14"/>
    <w:rsid w:val="001F429D"/>
    <w:rsid w:val="001F5E62"/>
    <w:rsid w:val="001F66A3"/>
    <w:rsid w:val="0020195A"/>
    <w:rsid w:val="00201E05"/>
    <w:rsid w:val="00205B4D"/>
    <w:rsid w:val="0020747D"/>
    <w:rsid w:val="0021138F"/>
    <w:rsid w:val="0021143F"/>
    <w:rsid w:val="002115CA"/>
    <w:rsid w:val="00212F65"/>
    <w:rsid w:val="00213FEA"/>
    <w:rsid w:val="00221FE9"/>
    <w:rsid w:val="00223CF7"/>
    <w:rsid w:val="00224F27"/>
    <w:rsid w:val="0022741B"/>
    <w:rsid w:val="00227F23"/>
    <w:rsid w:val="00232D74"/>
    <w:rsid w:val="002331A8"/>
    <w:rsid w:val="0023453D"/>
    <w:rsid w:val="002350E6"/>
    <w:rsid w:val="00235510"/>
    <w:rsid w:val="00236F8A"/>
    <w:rsid w:val="00237414"/>
    <w:rsid w:val="00240698"/>
    <w:rsid w:val="00241BEF"/>
    <w:rsid w:val="0024302F"/>
    <w:rsid w:val="002432C8"/>
    <w:rsid w:val="00244903"/>
    <w:rsid w:val="00250CFD"/>
    <w:rsid w:val="0025193D"/>
    <w:rsid w:val="00253B52"/>
    <w:rsid w:val="00253B53"/>
    <w:rsid w:val="00253F7C"/>
    <w:rsid w:val="00254375"/>
    <w:rsid w:val="00254703"/>
    <w:rsid w:val="00260F26"/>
    <w:rsid w:val="002618B7"/>
    <w:rsid w:val="00261BF0"/>
    <w:rsid w:val="0026358C"/>
    <w:rsid w:val="00266444"/>
    <w:rsid w:val="00267C4E"/>
    <w:rsid w:val="00271A4C"/>
    <w:rsid w:val="002773A7"/>
    <w:rsid w:val="002778F0"/>
    <w:rsid w:val="002779FD"/>
    <w:rsid w:val="002800A9"/>
    <w:rsid w:val="0028055B"/>
    <w:rsid w:val="00280709"/>
    <w:rsid w:val="00281702"/>
    <w:rsid w:val="002821D0"/>
    <w:rsid w:val="00282D92"/>
    <w:rsid w:val="0028542F"/>
    <w:rsid w:val="00286F30"/>
    <w:rsid w:val="00287B5D"/>
    <w:rsid w:val="002901DF"/>
    <w:rsid w:val="00290B22"/>
    <w:rsid w:val="00290D95"/>
    <w:rsid w:val="00290DEA"/>
    <w:rsid w:val="0029156B"/>
    <w:rsid w:val="002915EB"/>
    <w:rsid w:val="00291A7C"/>
    <w:rsid w:val="002922CC"/>
    <w:rsid w:val="00292629"/>
    <w:rsid w:val="00292B60"/>
    <w:rsid w:val="00293339"/>
    <w:rsid w:val="002959E6"/>
    <w:rsid w:val="00296C9F"/>
    <w:rsid w:val="00296D30"/>
    <w:rsid w:val="002A0842"/>
    <w:rsid w:val="002B00B4"/>
    <w:rsid w:val="002B212D"/>
    <w:rsid w:val="002B2EB2"/>
    <w:rsid w:val="002B39FB"/>
    <w:rsid w:val="002B42BA"/>
    <w:rsid w:val="002B601B"/>
    <w:rsid w:val="002B761A"/>
    <w:rsid w:val="002C3A2A"/>
    <w:rsid w:val="002C57FC"/>
    <w:rsid w:val="002C5A30"/>
    <w:rsid w:val="002C7FA8"/>
    <w:rsid w:val="002D3BCB"/>
    <w:rsid w:val="002D7D48"/>
    <w:rsid w:val="002E3847"/>
    <w:rsid w:val="002E38DD"/>
    <w:rsid w:val="002E6982"/>
    <w:rsid w:val="002E6A3F"/>
    <w:rsid w:val="002F0F5D"/>
    <w:rsid w:val="002F25BC"/>
    <w:rsid w:val="002F3F0D"/>
    <w:rsid w:val="002F4F33"/>
    <w:rsid w:val="002F50F6"/>
    <w:rsid w:val="003009BB"/>
    <w:rsid w:val="00300C1A"/>
    <w:rsid w:val="00302581"/>
    <w:rsid w:val="00302F4F"/>
    <w:rsid w:val="00305013"/>
    <w:rsid w:val="00312AE2"/>
    <w:rsid w:val="00313FA6"/>
    <w:rsid w:val="00314432"/>
    <w:rsid w:val="003177AA"/>
    <w:rsid w:val="00317966"/>
    <w:rsid w:val="00317EC6"/>
    <w:rsid w:val="00317EFD"/>
    <w:rsid w:val="003202E9"/>
    <w:rsid w:val="00320E3D"/>
    <w:rsid w:val="003219BF"/>
    <w:rsid w:val="003230E5"/>
    <w:rsid w:val="003234A9"/>
    <w:rsid w:val="00323AA7"/>
    <w:rsid w:val="00325752"/>
    <w:rsid w:val="00330E16"/>
    <w:rsid w:val="00331FDC"/>
    <w:rsid w:val="00332D9D"/>
    <w:rsid w:val="00342F5C"/>
    <w:rsid w:val="00347A65"/>
    <w:rsid w:val="003509E9"/>
    <w:rsid w:val="003522F7"/>
    <w:rsid w:val="0035289D"/>
    <w:rsid w:val="003537A0"/>
    <w:rsid w:val="00353A66"/>
    <w:rsid w:val="00353A9D"/>
    <w:rsid w:val="003556D2"/>
    <w:rsid w:val="00356017"/>
    <w:rsid w:val="003563C9"/>
    <w:rsid w:val="003572ED"/>
    <w:rsid w:val="00357E17"/>
    <w:rsid w:val="00364BCE"/>
    <w:rsid w:val="00366B70"/>
    <w:rsid w:val="003715AB"/>
    <w:rsid w:val="00373C6E"/>
    <w:rsid w:val="0037506E"/>
    <w:rsid w:val="003766E8"/>
    <w:rsid w:val="0037673F"/>
    <w:rsid w:val="0037778B"/>
    <w:rsid w:val="00382A68"/>
    <w:rsid w:val="0038440D"/>
    <w:rsid w:val="00384E4E"/>
    <w:rsid w:val="0038558C"/>
    <w:rsid w:val="00386163"/>
    <w:rsid w:val="003869FE"/>
    <w:rsid w:val="00391941"/>
    <w:rsid w:val="003922CD"/>
    <w:rsid w:val="003926E1"/>
    <w:rsid w:val="00393544"/>
    <w:rsid w:val="00394FC0"/>
    <w:rsid w:val="0039734E"/>
    <w:rsid w:val="003A159A"/>
    <w:rsid w:val="003A2745"/>
    <w:rsid w:val="003A30A8"/>
    <w:rsid w:val="003A35C3"/>
    <w:rsid w:val="003A3649"/>
    <w:rsid w:val="003A6ED0"/>
    <w:rsid w:val="003A79B9"/>
    <w:rsid w:val="003B02A8"/>
    <w:rsid w:val="003B1659"/>
    <w:rsid w:val="003B1781"/>
    <w:rsid w:val="003B1E21"/>
    <w:rsid w:val="003B207F"/>
    <w:rsid w:val="003B2F5E"/>
    <w:rsid w:val="003B4213"/>
    <w:rsid w:val="003B7FFA"/>
    <w:rsid w:val="003C02EC"/>
    <w:rsid w:val="003C1179"/>
    <w:rsid w:val="003C1405"/>
    <w:rsid w:val="003C3443"/>
    <w:rsid w:val="003C3715"/>
    <w:rsid w:val="003C5534"/>
    <w:rsid w:val="003C6ACD"/>
    <w:rsid w:val="003C6EA2"/>
    <w:rsid w:val="003C7113"/>
    <w:rsid w:val="003D1294"/>
    <w:rsid w:val="003D1E74"/>
    <w:rsid w:val="003D3ADB"/>
    <w:rsid w:val="003D62C5"/>
    <w:rsid w:val="003D6E77"/>
    <w:rsid w:val="003E0A1E"/>
    <w:rsid w:val="003E3513"/>
    <w:rsid w:val="003E528E"/>
    <w:rsid w:val="003E59EF"/>
    <w:rsid w:val="003E5FD8"/>
    <w:rsid w:val="003E610C"/>
    <w:rsid w:val="003E666B"/>
    <w:rsid w:val="003E7873"/>
    <w:rsid w:val="003F0B82"/>
    <w:rsid w:val="003F46E6"/>
    <w:rsid w:val="003F5B27"/>
    <w:rsid w:val="003F5EDD"/>
    <w:rsid w:val="003F694E"/>
    <w:rsid w:val="00401F3D"/>
    <w:rsid w:val="004022FC"/>
    <w:rsid w:val="004039D1"/>
    <w:rsid w:val="00406038"/>
    <w:rsid w:val="0040616D"/>
    <w:rsid w:val="00407304"/>
    <w:rsid w:val="00407E5A"/>
    <w:rsid w:val="00412200"/>
    <w:rsid w:val="0041360B"/>
    <w:rsid w:val="0041579C"/>
    <w:rsid w:val="00415DC5"/>
    <w:rsid w:val="0041670E"/>
    <w:rsid w:val="00420978"/>
    <w:rsid w:val="004217FD"/>
    <w:rsid w:val="004248CB"/>
    <w:rsid w:val="00425595"/>
    <w:rsid w:val="004259FB"/>
    <w:rsid w:val="0042695C"/>
    <w:rsid w:val="004274D2"/>
    <w:rsid w:val="00431DD4"/>
    <w:rsid w:val="0043262B"/>
    <w:rsid w:val="004344C4"/>
    <w:rsid w:val="00435267"/>
    <w:rsid w:val="00437235"/>
    <w:rsid w:val="0043731B"/>
    <w:rsid w:val="0044107F"/>
    <w:rsid w:val="00441777"/>
    <w:rsid w:val="00441B72"/>
    <w:rsid w:val="00442415"/>
    <w:rsid w:val="0044535B"/>
    <w:rsid w:val="00445AFF"/>
    <w:rsid w:val="00445E95"/>
    <w:rsid w:val="004469F5"/>
    <w:rsid w:val="00447B0F"/>
    <w:rsid w:val="00450FE2"/>
    <w:rsid w:val="00451176"/>
    <w:rsid w:val="0045177F"/>
    <w:rsid w:val="0045467C"/>
    <w:rsid w:val="004559B7"/>
    <w:rsid w:val="00460B96"/>
    <w:rsid w:val="00460F20"/>
    <w:rsid w:val="004611C5"/>
    <w:rsid w:val="004618D6"/>
    <w:rsid w:val="00461E52"/>
    <w:rsid w:val="00464D12"/>
    <w:rsid w:val="0046543C"/>
    <w:rsid w:val="0046552D"/>
    <w:rsid w:val="004662B2"/>
    <w:rsid w:val="00466C43"/>
    <w:rsid w:val="004677D0"/>
    <w:rsid w:val="004708FB"/>
    <w:rsid w:val="00471ADF"/>
    <w:rsid w:val="004739D6"/>
    <w:rsid w:val="004755BC"/>
    <w:rsid w:val="00477ACC"/>
    <w:rsid w:val="00481334"/>
    <w:rsid w:val="00482650"/>
    <w:rsid w:val="00484A4B"/>
    <w:rsid w:val="00486136"/>
    <w:rsid w:val="00487340"/>
    <w:rsid w:val="004873A5"/>
    <w:rsid w:val="00487CB4"/>
    <w:rsid w:val="00490F86"/>
    <w:rsid w:val="00491D63"/>
    <w:rsid w:val="0049422F"/>
    <w:rsid w:val="004942A8"/>
    <w:rsid w:val="00495B40"/>
    <w:rsid w:val="00495C9B"/>
    <w:rsid w:val="00496C29"/>
    <w:rsid w:val="004A1E52"/>
    <w:rsid w:val="004A4948"/>
    <w:rsid w:val="004A4A47"/>
    <w:rsid w:val="004B45C8"/>
    <w:rsid w:val="004B799B"/>
    <w:rsid w:val="004C1124"/>
    <w:rsid w:val="004C5FC6"/>
    <w:rsid w:val="004D0755"/>
    <w:rsid w:val="004D192C"/>
    <w:rsid w:val="004D2040"/>
    <w:rsid w:val="004D4C85"/>
    <w:rsid w:val="004D4EFF"/>
    <w:rsid w:val="004D5308"/>
    <w:rsid w:val="004D539B"/>
    <w:rsid w:val="004D6319"/>
    <w:rsid w:val="004D7261"/>
    <w:rsid w:val="004D72A7"/>
    <w:rsid w:val="004E15E2"/>
    <w:rsid w:val="004E5107"/>
    <w:rsid w:val="004E518A"/>
    <w:rsid w:val="004E64AC"/>
    <w:rsid w:val="004E6F2B"/>
    <w:rsid w:val="004E7B3A"/>
    <w:rsid w:val="004F01CB"/>
    <w:rsid w:val="004F5452"/>
    <w:rsid w:val="004F5894"/>
    <w:rsid w:val="004F5D86"/>
    <w:rsid w:val="004F62BD"/>
    <w:rsid w:val="004F6E3A"/>
    <w:rsid w:val="00503741"/>
    <w:rsid w:val="005059F8"/>
    <w:rsid w:val="0050622C"/>
    <w:rsid w:val="00510F6B"/>
    <w:rsid w:val="00511921"/>
    <w:rsid w:val="00513D5F"/>
    <w:rsid w:val="00513F5A"/>
    <w:rsid w:val="00514628"/>
    <w:rsid w:val="00515DF1"/>
    <w:rsid w:val="005160C4"/>
    <w:rsid w:val="005166FF"/>
    <w:rsid w:val="00520D9B"/>
    <w:rsid w:val="00520EF1"/>
    <w:rsid w:val="00521695"/>
    <w:rsid w:val="0052210B"/>
    <w:rsid w:val="00522EE3"/>
    <w:rsid w:val="005273DE"/>
    <w:rsid w:val="00532FA0"/>
    <w:rsid w:val="005331A5"/>
    <w:rsid w:val="005332E6"/>
    <w:rsid w:val="00534B0D"/>
    <w:rsid w:val="00536543"/>
    <w:rsid w:val="005410F7"/>
    <w:rsid w:val="00541CAE"/>
    <w:rsid w:val="00542525"/>
    <w:rsid w:val="00542624"/>
    <w:rsid w:val="0054281E"/>
    <w:rsid w:val="00544097"/>
    <w:rsid w:val="00544570"/>
    <w:rsid w:val="005451B6"/>
    <w:rsid w:val="00547EBA"/>
    <w:rsid w:val="0055102F"/>
    <w:rsid w:val="0055506D"/>
    <w:rsid w:val="005558E4"/>
    <w:rsid w:val="00557702"/>
    <w:rsid w:val="005615E6"/>
    <w:rsid w:val="00563933"/>
    <w:rsid w:val="00563E58"/>
    <w:rsid w:val="00565C4C"/>
    <w:rsid w:val="00566780"/>
    <w:rsid w:val="00575494"/>
    <w:rsid w:val="00576BD4"/>
    <w:rsid w:val="005772BE"/>
    <w:rsid w:val="005808C9"/>
    <w:rsid w:val="00583390"/>
    <w:rsid w:val="0059081C"/>
    <w:rsid w:val="00592B5A"/>
    <w:rsid w:val="00592C95"/>
    <w:rsid w:val="00596D91"/>
    <w:rsid w:val="005A1DEC"/>
    <w:rsid w:val="005A20CF"/>
    <w:rsid w:val="005A28F2"/>
    <w:rsid w:val="005A5F70"/>
    <w:rsid w:val="005A63BB"/>
    <w:rsid w:val="005B02C4"/>
    <w:rsid w:val="005B0884"/>
    <w:rsid w:val="005B091E"/>
    <w:rsid w:val="005B26B4"/>
    <w:rsid w:val="005C3989"/>
    <w:rsid w:val="005C4E2B"/>
    <w:rsid w:val="005C4F71"/>
    <w:rsid w:val="005C5136"/>
    <w:rsid w:val="005C5FD1"/>
    <w:rsid w:val="005C6F3C"/>
    <w:rsid w:val="005D2CAC"/>
    <w:rsid w:val="005D330A"/>
    <w:rsid w:val="005D582D"/>
    <w:rsid w:val="005D59C8"/>
    <w:rsid w:val="005E1FF7"/>
    <w:rsid w:val="005E39F4"/>
    <w:rsid w:val="005E3BBC"/>
    <w:rsid w:val="005E48D9"/>
    <w:rsid w:val="005E57CA"/>
    <w:rsid w:val="005E5D8B"/>
    <w:rsid w:val="005E6099"/>
    <w:rsid w:val="005E631C"/>
    <w:rsid w:val="005F0672"/>
    <w:rsid w:val="005F06DB"/>
    <w:rsid w:val="005F0931"/>
    <w:rsid w:val="005F19E3"/>
    <w:rsid w:val="005F34DB"/>
    <w:rsid w:val="006004B2"/>
    <w:rsid w:val="00601898"/>
    <w:rsid w:val="00601D09"/>
    <w:rsid w:val="0060338D"/>
    <w:rsid w:val="00604479"/>
    <w:rsid w:val="00604DE4"/>
    <w:rsid w:val="00605C88"/>
    <w:rsid w:val="006065A0"/>
    <w:rsid w:val="006069DD"/>
    <w:rsid w:val="0060708D"/>
    <w:rsid w:val="006072CE"/>
    <w:rsid w:val="00607C2D"/>
    <w:rsid w:val="00610A32"/>
    <w:rsid w:val="0061229A"/>
    <w:rsid w:val="00621831"/>
    <w:rsid w:val="006231DF"/>
    <w:rsid w:val="0062388E"/>
    <w:rsid w:val="00627126"/>
    <w:rsid w:val="006271E4"/>
    <w:rsid w:val="00627535"/>
    <w:rsid w:val="00627CE4"/>
    <w:rsid w:val="00630815"/>
    <w:rsid w:val="006318DC"/>
    <w:rsid w:val="00631E72"/>
    <w:rsid w:val="006321C2"/>
    <w:rsid w:val="00632BBF"/>
    <w:rsid w:val="00642884"/>
    <w:rsid w:val="0064336C"/>
    <w:rsid w:val="00644D0B"/>
    <w:rsid w:val="006461F4"/>
    <w:rsid w:val="006464F3"/>
    <w:rsid w:val="006473E0"/>
    <w:rsid w:val="00650CFB"/>
    <w:rsid w:val="00651D72"/>
    <w:rsid w:val="006524BA"/>
    <w:rsid w:val="00654857"/>
    <w:rsid w:val="00656B56"/>
    <w:rsid w:val="00656C99"/>
    <w:rsid w:val="00660179"/>
    <w:rsid w:val="00660AFF"/>
    <w:rsid w:val="00661438"/>
    <w:rsid w:val="00661C1B"/>
    <w:rsid w:val="00662A49"/>
    <w:rsid w:val="00663141"/>
    <w:rsid w:val="00664F40"/>
    <w:rsid w:val="00666D88"/>
    <w:rsid w:val="0067049E"/>
    <w:rsid w:val="006708AF"/>
    <w:rsid w:val="00671661"/>
    <w:rsid w:val="0067300E"/>
    <w:rsid w:val="00675B3B"/>
    <w:rsid w:val="0067610B"/>
    <w:rsid w:val="00676512"/>
    <w:rsid w:val="0067670E"/>
    <w:rsid w:val="00676A7D"/>
    <w:rsid w:val="006772E2"/>
    <w:rsid w:val="006824B2"/>
    <w:rsid w:val="00682B66"/>
    <w:rsid w:val="00684FAE"/>
    <w:rsid w:val="0068606C"/>
    <w:rsid w:val="00686377"/>
    <w:rsid w:val="00687B00"/>
    <w:rsid w:val="00692B3B"/>
    <w:rsid w:val="00694A71"/>
    <w:rsid w:val="0069696B"/>
    <w:rsid w:val="006A0B9D"/>
    <w:rsid w:val="006A318A"/>
    <w:rsid w:val="006A4743"/>
    <w:rsid w:val="006A4CC7"/>
    <w:rsid w:val="006A630F"/>
    <w:rsid w:val="006A74DF"/>
    <w:rsid w:val="006A7CFD"/>
    <w:rsid w:val="006B0471"/>
    <w:rsid w:val="006B06D0"/>
    <w:rsid w:val="006B07BE"/>
    <w:rsid w:val="006B0F51"/>
    <w:rsid w:val="006B1422"/>
    <w:rsid w:val="006B15D1"/>
    <w:rsid w:val="006B1A21"/>
    <w:rsid w:val="006B1B7E"/>
    <w:rsid w:val="006B3835"/>
    <w:rsid w:val="006C3AE4"/>
    <w:rsid w:val="006C481F"/>
    <w:rsid w:val="006C4834"/>
    <w:rsid w:val="006C56CE"/>
    <w:rsid w:val="006C69D6"/>
    <w:rsid w:val="006C7B8B"/>
    <w:rsid w:val="006C7E41"/>
    <w:rsid w:val="006D23FB"/>
    <w:rsid w:val="006D2551"/>
    <w:rsid w:val="006E00FD"/>
    <w:rsid w:val="006E03EC"/>
    <w:rsid w:val="006E1308"/>
    <w:rsid w:val="006E313C"/>
    <w:rsid w:val="006E3DE7"/>
    <w:rsid w:val="006E723D"/>
    <w:rsid w:val="006F06D7"/>
    <w:rsid w:val="006F0D72"/>
    <w:rsid w:val="006F0F2F"/>
    <w:rsid w:val="006F1A90"/>
    <w:rsid w:val="006F2005"/>
    <w:rsid w:val="006F2986"/>
    <w:rsid w:val="006F34F2"/>
    <w:rsid w:val="006F514E"/>
    <w:rsid w:val="006F569A"/>
    <w:rsid w:val="007013D9"/>
    <w:rsid w:val="00701AB6"/>
    <w:rsid w:val="00703B6C"/>
    <w:rsid w:val="00706824"/>
    <w:rsid w:val="00710E3C"/>
    <w:rsid w:val="00712592"/>
    <w:rsid w:val="007137E6"/>
    <w:rsid w:val="007161C5"/>
    <w:rsid w:val="00716233"/>
    <w:rsid w:val="007173FC"/>
    <w:rsid w:val="007179D6"/>
    <w:rsid w:val="00721DFF"/>
    <w:rsid w:val="00723F40"/>
    <w:rsid w:val="007260CE"/>
    <w:rsid w:val="0072680E"/>
    <w:rsid w:val="00727012"/>
    <w:rsid w:val="00727E71"/>
    <w:rsid w:val="00730956"/>
    <w:rsid w:val="007316A1"/>
    <w:rsid w:val="00732301"/>
    <w:rsid w:val="00732596"/>
    <w:rsid w:val="00734E28"/>
    <w:rsid w:val="007356FA"/>
    <w:rsid w:val="007357CB"/>
    <w:rsid w:val="00737040"/>
    <w:rsid w:val="007450E0"/>
    <w:rsid w:val="00745A20"/>
    <w:rsid w:val="00750A14"/>
    <w:rsid w:val="007517DF"/>
    <w:rsid w:val="00752127"/>
    <w:rsid w:val="007571DD"/>
    <w:rsid w:val="0076270A"/>
    <w:rsid w:val="00763014"/>
    <w:rsid w:val="0076407E"/>
    <w:rsid w:val="00765A09"/>
    <w:rsid w:val="0076674A"/>
    <w:rsid w:val="00773BE6"/>
    <w:rsid w:val="007758CB"/>
    <w:rsid w:val="007770C3"/>
    <w:rsid w:val="00781C7F"/>
    <w:rsid w:val="00782FDD"/>
    <w:rsid w:val="007852DD"/>
    <w:rsid w:val="00786C32"/>
    <w:rsid w:val="00794599"/>
    <w:rsid w:val="00794E50"/>
    <w:rsid w:val="00795500"/>
    <w:rsid w:val="00796A67"/>
    <w:rsid w:val="007A132E"/>
    <w:rsid w:val="007A1420"/>
    <w:rsid w:val="007A1746"/>
    <w:rsid w:val="007A1FD8"/>
    <w:rsid w:val="007A6AC1"/>
    <w:rsid w:val="007A7B94"/>
    <w:rsid w:val="007B1E30"/>
    <w:rsid w:val="007B3232"/>
    <w:rsid w:val="007B34BE"/>
    <w:rsid w:val="007B4E4A"/>
    <w:rsid w:val="007B513C"/>
    <w:rsid w:val="007B561F"/>
    <w:rsid w:val="007B5993"/>
    <w:rsid w:val="007C1BC3"/>
    <w:rsid w:val="007C1C5A"/>
    <w:rsid w:val="007C26CE"/>
    <w:rsid w:val="007C396A"/>
    <w:rsid w:val="007C5FD0"/>
    <w:rsid w:val="007C6053"/>
    <w:rsid w:val="007C6849"/>
    <w:rsid w:val="007C6C40"/>
    <w:rsid w:val="007D0464"/>
    <w:rsid w:val="007D4E2B"/>
    <w:rsid w:val="007E095E"/>
    <w:rsid w:val="007E0D8A"/>
    <w:rsid w:val="007E0FFA"/>
    <w:rsid w:val="007E26B4"/>
    <w:rsid w:val="007E3F42"/>
    <w:rsid w:val="007E5C42"/>
    <w:rsid w:val="007E665F"/>
    <w:rsid w:val="007E74CB"/>
    <w:rsid w:val="007F158C"/>
    <w:rsid w:val="007F251F"/>
    <w:rsid w:val="007F3F30"/>
    <w:rsid w:val="007F46E8"/>
    <w:rsid w:val="007F6D9F"/>
    <w:rsid w:val="007F78B4"/>
    <w:rsid w:val="0080094A"/>
    <w:rsid w:val="00800F4B"/>
    <w:rsid w:val="00801D04"/>
    <w:rsid w:val="008056B2"/>
    <w:rsid w:val="0080623F"/>
    <w:rsid w:val="00807B56"/>
    <w:rsid w:val="00807BFC"/>
    <w:rsid w:val="00811FC1"/>
    <w:rsid w:val="00814D06"/>
    <w:rsid w:val="008151B8"/>
    <w:rsid w:val="008152DF"/>
    <w:rsid w:val="00816591"/>
    <w:rsid w:val="0082086E"/>
    <w:rsid w:val="00820BE4"/>
    <w:rsid w:val="008222F4"/>
    <w:rsid w:val="00822658"/>
    <w:rsid w:val="00822672"/>
    <w:rsid w:val="0082662E"/>
    <w:rsid w:val="00827792"/>
    <w:rsid w:val="00830060"/>
    <w:rsid w:val="0083350F"/>
    <w:rsid w:val="00837639"/>
    <w:rsid w:val="0084045E"/>
    <w:rsid w:val="008413E1"/>
    <w:rsid w:val="00841ADA"/>
    <w:rsid w:val="00842F7F"/>
    <w:rsid w:val="00844437"/>
    <w:rsid w:val="00847107"/>
    <w:rsid w:val="00851FC9"/>
    <w:rsid w:val="00853274"/>
    <w:rsid w:val="00855FBA"/>
    <w:rsid w:val="00856C8C"/>
    <w:rsid w:val="0085746F"/>
    <w:rsid w:val="008616C9"/>
    <w:rsid w:val="00861B4D"/>
    <w:rsid w:val="0086284C"/>
    <w:rsid w:val="0086293F"/>
    <w:rsid w:val="0086602B"/>
    <w:rsid w:val="0086757B"/>
    <w:rsid w:val="00874399"/>
    <w:rsid w:val="00875654"/>
    <w:rsid w:val="00876755"/>
    <w:rsid w:val="00876D10"/>
    <w:rsid w:val="0088331E"/>
    <w:rsid w:val="008854A5"/>
    <w:rsid w:val="0088585F"/>
    <w:rsid w:val="00885BA4"/>
    <w:rsid w:val="00886AEB"/>
    <w:rsid w:val="00886AFF"/>
    <w:rsid w:val="00886EA6"/>
    <w:rsid w:val="00891C6A"/>
    <w:rsid w:val="00893317"/>
    <w:rsid w:val="008945DD"/>
    <w:rsid w:val="008A27E8"/>
    <w:rsid w:val="008A405E"/>
    <w:rsid w:val="008A55FB"/>
    <w:rsid w:val="008A763B"/>
    <w:rsid w:val="008B246C"/>
    <w:rsid w:val="008B7A48"/>
    <w:rsid w:val="008B7A65"/>
    <w:rsid w:val="008C2EA8"/>
    <w:rsid w:val="008C41F6"/>
    <w:rsid w:val="008C4DA6"/>
    <w:rsid w:val="008C501D"/>
    <w:rsid w:val="008C7137"/>
    <w:rsid w:val="008D1139"/>
    <w:rsid w:val="008D1A7D"/>
    <w:rsid w:val="008D1E04"/>
    <w:rsid w:val="008D27F7"/>
    <w:rsid w:val="008E3246"/>
    <w:rsid w:val="008E40B4"/>
    <w:rsid w:val="008E43B4"/>
    <w:rsid w:val="008E4B55"/>
    <w:rsid w:val="008E68B0"/>
    <w:rsid w:val="008E795A"/>
    <w:rsid w:val="008F0CAA"/>
    <w:rsid w:val="008F33E7"/>
    <w:rsid w:val="008F3ABE"/>
    <w:rsid w:val="00903248"/>
    <w:rsid w:val="00903CB0"/>
    <w:rsid w:val="00904580"/>
    <w:rsid w:val="009058AD"/>
    <w:rsid w:val="009067F6"/>
    <w:rsid w:val="00910BB2"/>
    <w:rsid w:val="009112B6"/>
    <w:rsid w:val="00913592"/>
    <w:rsid w:val="0091377B"/>
    <w:rsid w:val="0091569C"/>
    <w:rsid w:val="00915D8A"/>
    <w:rsid w:val="00916004"/>
    <w:rsid w:val="0092172B"/>
    <w:rsid w:val="00922A03"/>
    <w:rsid w:val="00924496"/>
    <w:rsid w:val="00924FE1"/>
    <w:rsid w:val="00925E0E"/>
    <w:rsid w:val="00931352"/>
    <w:rsid w:val="00931EC8"/>
    <w:rsid w:val="00934651"/>
    <w:rsid w:val="009353B6"/>
    <w:rsid w:val="009374ED"/>
    <w:rsid w:val="00940965"/>
    <w:rsid w:val="00940AD0"/>
    <w:rsid w:val="00941256"/>
    <w:rsid w:val="00941281"/>
    <w:rsid w:val="00941CC9"/>
    <w:rsid w:val="00943D3E"/>
    <w:rsid w:val="00944F52"/>
    <w:rsid w:val="00945629"/>
    <w:rsid w:val="0094732C"/>
    <w:rsid w:val="00953ED2"/>
    <w:rsid w:val="0095456D"/>
    <w:rsid w:val="00954DD9"/>
    <w:rsid w:val="00955A47"/>
    <w:rsid w:val="00965E0A"/>
    <w:rsid w:val="00972886"/>
    <w:rsid w:val="009735E0"/>
    <w:rsid w:val="00980832"/>
    <w:rsid w:val="009816E1"/>
    <w:rsid w:val="0098371F"/>
    <w:rsid w:val="00985941"/>
    <w:rsid w:val="00985952"/>
    <w:rsid w:val="00985D21"/>
    <w:rsid w:val="00987D1D"/>
    <w:rsid w:val="00990FA9"/>
    <w:rsid w:val="00991687"/>
    <w:rsid w:val="0099296B"/>
    <w:rsid w:val="00992CA0"/>
    <w:rsid w:val="009931C3"/>
    <w:rsid w:val="00994FD9"/>
    <w:rsid w:val="00995EAA"/>
    <w:rsid w:val="00996493"/>
    <w:rsid w:val="00997DF0"/>
    <w:rsid w:val="009A0289"/>
    <w:rsid w:val="009A045C"/>
    <w:rsid w:val="009A0828"/>
    <w:rsid w:val="009A08ED"/>
    <w:rsid w:val="009A0A76"/>
    <w:rsid w:val="009A12C5"/>
    <w:rsid w:val="009A64AF"/>
    <w:rsid w:val="009A67EB"/>
    <w:rsid w:val="009A7BE5"/>
    <w:rsid w:val="009B0784"/>
    <w:rsid w:val="009B48E5"/>
    <w:rsid w:val="009B53B1"/>
    <w:rsid w:val="009B6228"/>
    <w:rsid w:val="009B694A"/>
    <w:rsid w:val="009B6FF7"/>
    <w:rsid w:val="009B75A5"/>
    <w:rsid w:val="009B7932"/>
    <w:rsid w:val="009C09E6"/>
    <w:rsid w:val="009C2CE6"/>
    <w:rsid w:val="009C2D34"/>
    <w:rsid w:val="009C34B7"/>
    <w:rsid w:val="009C5159"/>
    <w:rsid w:val="009C60B9"/>
    <w:rsid w:val="009C6DAE"/>
    <w:rsid w:val="009C79D4"/>
    <w:rsid w:val="009D0333"/>
    <w:rsid w:val="009D16BE"/>
    <w:rsid w:val="009D3856"/>
    <w:rsid w:val="009D3B66"/>
    <w:rsid w:val="009E19D6"/>
    <w:rsid w:val="009E1C29"/>
    <w:rsid w:val="009E23A3"/>
    <w:rsid w:val="009E25D4"/>
    <w:rsid w:val="009E2D8E"/>
    <w:rsid w:val="009E3A4C"/>
    <w:rsid w:val="009E4A56"/>
    <w:rsid w:val="009E7540"/>
    <w:rsid w:val="009E77F2"/>
    <w:rsid w:val="009F0E21"/>
    <w:rsid w:val="009F1AE5"/>
    <w:rsid w:val="009F2170"/>
    <w:rsid w:val="009F37AF"/>
    <w:rsid w:val="009F6656"/>
    <w:rsid w:val="00A01B6C"/>
    <w:rsid w:val="00A01F86"/>
    <w:rsid w:val="00A03402"/>
    <w:rsid w:val="00A03530"/>
    <w:rsid w:val="00A06779"/>
    <w:rsid w:val="00A069DE"/>
    <w:rsid w:val="00A06DD0"/>
    <w:rsid w:val="00A07295"/>
    <w:rsid w:val="00A10468"/>
    <w:rsid w:val="00A11462"/>
    <w:rsid w:val="00A14BC2"/>
    <w:rsid w:val="00A2042C"/>
    <w:rsid w:val="00A23B6A"/>
    <w:rsid w:val="00A23B6B"/>
    <w:rsid w:val="00A259EC"/>
    <w:rsid w:val="00A25B3B"/>
    <w:rsid w:val="00A26410"/>
    <w:rsid w:val="00A2645C"/>
    <w:rsid w:val="00A27337"/>
    <w:rsid w:val="00A33EB9"/>
    <w:rsid w:val="00A3511C"/>
    <w:rsid w:val="00A42FAB"/>
    <w:rsid w:val="00A45D71"/>
    <w:rsid w:val="00A46694"/>
    <w:rsid w:val="00A46D53"/>
    <w:rsid w:val="00A47D35"/>
    <w:rsid w:val="00A50B31"/>
    <w:rsid w:val="00A54512"/>
    <w:rsid w:val="00A54C02"/>
    <w:rsid w:val="00A646A3"/>
    <w:rsid w:val="00A70093"/>
    <w:rsid w:val="00A70326"/>
    <w:rsid w:val="00A70584"/>
    <w:rsid w:val="00A70592"/>
    <w:rsid w:val="00A72EC7"/>
    <w:rsid w:val="00A730BB"/>
    <w:rsid w:val="00A73AC3"/>
    <w:rsid w:val="00A75FC8"/>
    <w:rsid w:val="00A80AA0"/>
    <w:rsid w:val="00A8172F"/>
    <w:rsid w:val="00A83FB1"/>
    <w:rsid w:val="00A84531"/>
    <w:rsid w:val="00A85AA9"/>
    <w:rsid w:val="00A86BCB"/>
    <w:rsid w:val="00A87581"/>
    <w:rsid w:val="00A90BB4"/>
    <w:rsid w:val="00A91FF3"/>
    <w:rsid w:val="00A92C80"/>
    <w:rsid w:val="00A933F6"/>
    <w:rsid w:val="00A93E7C"/>
    <w:rsid w:val="00A94496"/>
    <w:rsid w:val="00A96121"/>
    <w:rsid w:val="00AA07CC"/>
    <w:rsid w:val="00AA0B54"/>
    <w:rsid w:val="00AA327C"/>
    <w:rsid w:val="00AA3757"/>
    <w:rsid w:val="00AA385D"/>
    <w:rsid w:val="00AA5126"/>
    <w:rsid w:val="00AA6157"/>
    <w:rsid w:val="00AB0549"/>
    <w:rsid w:val="00AB2222"/>
    <w:rsid w:val="00AB2924"/>
    <w:rsid w:val="00AB395D"/>
    <w:rsid w:val="00AB6B38"/>
    <w:rsid w:val="00AB6B80"/>
    <w:rsid w:val="00AB7112"/>
    <w:rsid w:val="00AC0609"/>
    <w:rsid w:val="00AC2A8C"/>
    <w:rsid w:val="00AC6654"/>
    <w:rsid w:val="00AD1395"/>
    <w:rsid w:val="00AD15D6"/>
    <w:rsid w:val="00AD27E7"/>
    <w:rsid w:val="00AD2A03"/>
    <w:rsid w:val="00AD51EF"/>
    <w:rsid w:val="00AD6A06"/>
    <w:rsid w:val="00AE1DE9"/>
    <w:rsid w:val="00AE1DEE"/>
    <w:rsid w:val="00AE2B9F"/>
    <w:rsid w:val="00AE3502"/>
    <w:rsid w:val="00AE4028"/>
    <w:rsid w:val="00AE64EF"/>
    <w:rsid w:val="00AE7940"/>
    <w:rsid w:val="00AF1650"/>
    <w:rsid w:val="00AF2CF1"/>
    <w:rsid w:val="00AF5B04"/>
    <w:rsid w:val="00AF6E40"/>
    <w:rsid w:val="00B00C56"/>
    <w:rsid w:val="00B010AC"/>
    <w:rsid w:val="00B027F8"/>
    <w:rsid w:val="00B04839"/>
    <w:rsid w:val="00B0484C"/>
    <w:rsid w:val="00B066E0"/>
    <w:rsid w:val="00B073E3"/>
    <w:rsid w:val="00B07B4A"/>
    <w:rsid w:val="00B1082B"/>
    <w:rsid w:val="00B1158C"/>
    <w:rsid w:val="00B12B4A"/>
    <w:rsid w:val="00B12DD0"/>
    <w:rsid w:val="00B14482"/>
    <w:rsid w:val="00B15B86"/>
    <w:rsid w:val="00B1702E"/>
    <w:rsid w:val="00B1741A"/>
    <w:rsid w:val="00B21B32"/>
    <w:rsid w:val="00B21C94"/>
    <w:rsid w:val="00B256FD"/>
    <w:rsid w:val="00B25F2D"/>
    <w:rsid w:val="00B27331"/>
    <w:rsid w:val="00B27D8F"/>
    <w:rsid w:val="00B31AD4"/>
    <w:rsid w:val="00B325CE"/>
    <w:rsid w:val="00B32C5E"/>
    <w:rsid w:val="00B337E4"/>
    <w:rsid w:val="00B34195"/>
    <w:rsid w:val="00B34BF8"/>
    <w:rsid w:val="00B3712D"/>
    <w:rsid w:val="00B404F2"/>
    <w:rsid w:val="00B40A7B"/>
    <w:rsid w:val="00B433BB"/>
    <w:rsid w:val="00B437E8"/>
    <w:rsid w:val="00B44F24"/>
    <w:rsid w:val="00B460F9"/>
    <w:rsid w:val="00B46A98"/>
    <w:rsid w:val="00B471DE"/>
    <w:rsid w:val="00B4775D"/>
    <w:rsid w:val="00B47F0D"/>
    <w:rsid w:val="00B5095F"/>
    <w:rsid w:val="00B510DB"/>
    <w:rsid w:val="00B547A0"/>
    <w:rsid w:val="00B5487C"/>
    <w:rsid w:val="00B560FD"/>
    <w:rsid w:val="00B5644F"/>
    <w:rsid w:val="00B57563"/>
    <w:rsid w:val="00B57A3E"/>
    <w:rsid w:val="00B57CDD"/>
    <w:rsid w:val="00B62615"/>
    <w:rsid w:val="00B63305"/>
    <w:rsid w:val="00B64055"/>
    <w:rsid w:val="00B67833"/>
    <w:rsid w:val="00B702F6"/>
    <w:rsid w:val="00B70893"/>
    <w:rsid w:val="00B71972"/>
    <w:rsid w:val="00B72F77"/>
    <w:rsid w:val="00B734B7"/>
    <w:rsid w:val="00B736EF"/>
    <w:rsid w:val="00B73974"/>
    <w:rsid w:val="00B73DA5"/>
    <w:rsid w:val="00B74081"/>
    <w:rsid w:val="00B7644D"/>
    <w:rsid w:val="00B768B2"/>
    <w:rsid w:val="00B769FF"/>
    <w:rsid w:val="00B77E80"/>
    <w:rsid w:val="00B81544"/>
    <w:rsid w:val="00B83D1C"/>
    <w:rsid w:val="00B85325"/>
    <w:rsid w:val="00B85B7E"/>
    <w:rsid w:val="00B85E29"/>
    <w:rsid w:val="00B87E53"/>
    <w:rsid w:val="00B91862"/>
    <w:rsid w:val="00B9221A"/>
    <w:rsid w:val="00B9251C"/>
    <w:rsid w:val="00B92A46"/>
    <w:rsid w:val="00B9582E"/>
    <w:rsid w:val="00B95887"/>
    <w:rsid w:val="00B96658"/>
    <w:rsid w:val="00B96E75"/>
    <w:rsid w:val="00BA27AB"/>
    <w:rsid w:val="00BA2BA0"/>
    <w:rsid w:val="00BA2E4B"/>
    <w:rsid w:val="00BA3934"/>
    <w:rsid w:val="00BA3B39"/>
    <w:rsid w:val="00BA3BAE"/>
    <w:rsid w:val="00BA7F59"/>
    <w:rsid w:val="00BB0D9E"/>
    <w:rsid w:val="00BB291B"/>
    <w:rsid w:val="00BB2EEC"/>
    <w:rsid w:val="00BB4065"/>
    <w:rsid w:val="00BC0E2A"/>
    <w:rsid w:val="00BC1A37"/>
    <w:rsid w:val="00BC2C80"/>
    <w:rsid w:val="00BC52A2"/>
    <w:rsid w:val="00BD4D7E"/>
    <w:rsid w:val="00BD5439"/>
    <w:rsid w:val="00BD5828"/>
    <w:rsid w:val="00BE47BF"/>
    <w:rsid w:val="00BE531B"/>
    <w:rsid w:val="00BE62AF"/>
    <w:rsid w:val="00BE633C"/>
    <w:rsid w:val="00BF17E3"/>
    <w:rsid w:val="00BF18E5"/>
    <w:rsid w:val="00BF2BBF"/>
    <w:rsid w:val="00BF363B"/>
    <w:rsid w:val="00BF3968"/>
    <w:rsid w:val="00BF3ACE"/>
    <w:rsid w:val="00BF40F2"/>
    <w:rsid w:val="00C011E8"/>
    <w:rsid w:val="00C01C54"/>
    <w:rsid w:val="00C01F1D"/>
    <w:rsid w:val="00C03314"/>
    <w:rsid w:val="00C035DF"/>
    <w:rsid w:val="00C03B88"/>
    <w:rsid w:val="00C03D23"/>
    <w:rsid w:val="00C07C2C"/>
    <w:rsid w:val="00C10109"/>
    <w:rsid w:val="00C109D3"/>
    <w:rsid w:val="00C10DF7"/>
    <w:rsid w:val="00C10F10"/>
    <w:rsid w:val="00C12B6A"/>
    <w:rsid w:val="00C13482"/>
    <w:rsid w:val="00C13EC0"/>
    <w:rsid w:val="00C1699F"/>
    <w:rsid w:val="00C17B57"/>
    <w:rsid w:val="00C2037F"/>
    <w:rsid w:val="00C205BD"/>
    <w:rsid w:val="00C2444D"/>
    <w:rsid w:val="00C2472E"/>
    <w:rsid w:val="00C24C66"/>
    <w:rsid w:val="00C25B65"/>
    <w:rsid w:val="00C25CF7"/>
    <w:rsid w:val="00C30E32"/>
    <w:rsid w:val="00C314E8"/>
    <w:rsid w:val="00C31CBA"/>
    <w:rsid w:val="00C32B6C"/>
    <w:rsid w:val="00C33DE7"/>
    <w:rsid w:val="00C34E5D"/>
    <w:rsid w:val="00C367A5"/>
    <w:rsid w:val="00C37FBF"/>
    <w:rsid w:val="00C4195E"/>
    <w:rsid w:val="00C41EA3"/>
    <w:rsid w:val="00C45445"/>
    <w:rsid w:val="00C45BF7"/>
    <w:rsid w:val="00C503C8"/>
    <w:rsid w:val="00C5093B"/>
    <w:rsid w:val="00C51E2B"/>
    <w:rsid w:val="00C53346"/>
    <w:rsid w:val="00C6501C"/>
    <w:rsid w:val="00C65DC2"/>
    <w:rsid w:val="00C65FD7"/>
    <w:rsid w:val="00C67604"/>
    <w:rsid w:val="00C67DB6"/>
    <w:rsid w:val="00C703CC"/>
    <w:rsid w:val="00C70B24"/>
    <w:rsid w:val="00C7189B"/>
    <w:rsid w:val="00C72EB7"/>
    <w:rsid w:val="00C740DB"/>
    <w:rsid w:val="00C74F0C"/>
    <w:rsid w:val="00C75E05"/>
    <w:rsid w:val="00C805AD"/>
    <w:rsid w:val="00C81098"/>
    <w:rsid w:val="00C8468F"/>
    <w:rsid w:val="00C86F99"/>
    <w:rsid w:val="00C87FD1"/>
    <w:rsid w:val="00C909C7"/>
    <w:rsid w:val="00C91852"/>
    <w:rsid w:val="00C92E04"/>
    <w:rsid w:val="00C94ADD"/>
    <w:rsid w:val="00C95733"/>
    <w:rsid w:val="00C96BC2"/>
    <w:rsid w:val="00C9742A"/>
    <w:rsid w:val="00CA51E7"/>
    <w:rsid w:val="00CA695C"/>
    <w:rsid w:val="00CA7A5A"/>
    <w:rsid w:val="00CB1940"/>
    <w:rsid w:val="00CB23AA"/>
    <w:rsid w:val="00CB4313"/>
    <w:rsid w:val="00CB47ED"/>
    <w:rsid w:val="00CB4CE8"/>
    <w:rsid w:val="00CB57AA"/>
    <w:rsid w:val="00CC3DB6"/>
    <w:rsid w:val="00CC4420"/>
    <w:rsid w:val="00CC5CBE"/>
    <w:rsid w:val="00CC5D78"/>
    <w:rsid w:val="00CC6F63"/>
    <w:rsid w:val="00CD0FA9"/>
    <w:rsid w:val="00CD1BF2"/>
    <w:rsid w:val="00CD1CCF"/>
    <w:rsid w:val="00CD3439"/>
    <w:rsid w:val="00CD58B8"/>
    <w:rsid w:val="00CD6983"/>
    <w:rsid w:val="00CE055C"/>
    <w:rsid w:val="00CE097A"/>
    <w:rsid w:val="00CE4D89"/>
    <w:rsid w:val="00CE4E61"/>
    <w:rsid w:val="00CE5EF9"/>
    <w:rsid w:val="00CE7E33"/>
    <w:rsid w:val="00CF0C6D"/>
    <w:rsid w:val="00CF2C65"/>
    <w:rsid w:val="00CF3563"/>
    <w:rsid w:val="00CF6359"/>
    <w:rsid w:val="00CF69A4"/>
    <w:rsid w:val="00D01737"/>
    <w:rsid w:val="00D01A5B"/>
    <w:rsid w:val="00D0265B"/>
    <w:rsid w:val="00D029EA"/>
    <w:rsid w:val="00D03BFE"/>
    <w:rsid w:val="00D10026"/>
    <w:rsid w:val="00D10A50"/>
    <w:rsid w:val="00D12395"/>
    <w:rsid w:val="00D13085"/>
    <w:rsid w:val="00D1336E"/>
    <w:rsid w:val="00D1398E"/>
    <w:rsid w:val="00D14323"/>
    <w:rsid w:val="00D15519"/>
    <w:rsid w:val="00D16BC7"/>
    <w:rsid w:val="00D175D2"/>
    <w:rsid w:val="00D176E4"/>
    <w:rsid w:val="00D17A2F"/>
    <w:rsid w:val="00D21F58"/>
    <w:rsid w:val="00D2318E"/>
    <w:rsid w:val="00D242B1"/>
    <w:rsid w:val="00D24825"/>
    <w:rsid w:val="00D24AA2"/>
    <w:rsid w:val="00D26513"/>
    <w:rsid w:val="00D2669A"/>
    <w:rsid w:val="00D26B0C"/>
    <w:rsid w:val="00D270A9"/>
    <w:rsid w:val="00D31B62"/>
    <w:rsid w:val="00D342A3"/>
    <w:rsid w:val="00D377B6"/>
    <w:rsid w:val="00D41859"/>
    <w:rsid w:val="00D43777"/>
    <w:rsid w:val="00D43C7C"/>
    <w:rsid w:val="00D56BB0"/>
    <w:rsid w:val="00D57213"/>
    <w:rsid w:val="00D6242F"/>
    <w:rsid w:val="00D629C7"/>
    <w:rsid w:val="00D62F4E"/>
    <w:rsid w:val="00D64022"/>
    <w:rsid w:val="00D64123"/>
    <w:rsid w:val="00D64FEB"/>
    <w:rsid w:val="00D7094D"/>
    <w:rsid w:val="00D70B64"/>
    <w:rsid w:val="00D70D87"/>
    <w:rsid w:val="00D71493"/>
    <w:rsid w:val="00D719F3"/>
    <w:rsid w:val="00D726EA"/>
    <w:rsid w:val="00D72BBC"/>
    <w:rsid w:val="00D72F8E"/>
    <w:rsid w:val="00D730D2"/>
    <w:rsid w:val="00D73D1C"/>
    <w:rsid w:val="00D753DB"/>
    <w:rsid w:val="00D758CE"/>
    <w:rsid w:val="00D832DF"/>
    <w:rsid w:val="00D848AA"/>
    <w:rsid w:val="00D860ED"/>
    <w:rsid w:val="00D8683C"/>
    <w:rsid w:val="00D86A2C"/>
    <w:rsid w:val="00D87A88"/>
    <w:rsid w:val="00D87C2A"/>
    <w:rsid w:val="00D87D2A"/>
    <w:rsid w:val="00D912F3"/>
    <w:rsid w:val="00D91E62"/>
    <w:rsid w:val="00D93346"/>
    <w:rsid w:val="00D949A9"/>
    <w:rsid w:val="00D95BA4"/>
    <w:rsid w:val="00D9613A"/>
    <w:rsid w:val="00D96478"/>
    <w:rsid w:val="00D96FAF"/>
    <w:rsid w:val="00D975C3"/>
    <w:rsid w:val="00D9798F"/>
    <w:rsid w:val="00DA0A7C"/>
    <w:rsid w:val="00DA1A65"/>
    <w:rsid w:val="00DA27BF"/>
    <w:rsid w:val="00DA365B"/>
    <w:rsid w:val="00DB1C4F"/>
    <w:rsid w:val="00DB40AE"/>
    <w:rsid w:val="00DB4D16"/>
    <w:rsid w:val="00DB4E6A"/>
    <w:rsid w:val="00DB6327"/>
    <w:rsid w:val="00DB6936"/>
    <w:rsid w:val="00DB6C45"/>
    <w:rsid w:val="00DB7FC4"/>
    <w:rsid w:val="00DC1391"/>
    <w:rsid w:val="00DC2FC2"/>
    <w:rsid w:val="00DC4001"/>
    <w:rsid w:val="00DC63E5"/>
    <w:rsid w:val="00DC66CF"/>
    <w:rsid w:val="00DC67B4"/>
    <w:rsid w:val="00DC6C37"/>
    <w:rsid w:val="00DD01B5"/>
    <w:rsid w:val="00DD19EE"/>
    <w:rsid w:val="00DD42BB"/>
    <w:rsid w:val="00DD567F"/>
    <w:rsid w:val="00DD6C3D"/>
    <w:rsid w:val="00DE0754"/>
    <w:rsid w:val="00DE1B56"/>
    <w:rsid w:val="00DE4262"/>
    <w:rsid w:val="00DE5049"/>
    <w:rsid w:val="00DE7221"/>
    <w:rsid w:val="00DF072C"/>
    <w:rsid w:val="00DF4EA7"/>
    <w:rsid w:val="00DF6C93"/>
    <w:rsid w:val="00DF7CE0"/>
    <w:rsid w:val="00E000FE"/>
    <w:rsid w:val="00E02527"/>
    <w:rsid w:val="00E03C89"/>
    <w:rsid w:val="00E0403B"/>
    <w:rsid w:val="00E044E5"/>
    <w:rsid w:val="00E057F5"/>
    <w:rsid w:val="00E06290"/>
    <w:rsid w:val="00E06F68"/>
    <w:rsid w:val="00E07CF5"/>
    <w:rsid w:val="00E10F9E"/>
    <w:rsid w:val="00E17B65"/>
    <w:rsid w:val="00E2176A"/>
    <w:rsid w:val="00E21F4B"/>
    <w:rsid w:val="00E246C3"/>
    <w:rsid w:val="00E25E07"/>
    <w:rsid w:val="00E26CD8"/>
    <w:rsid w:val="00E271BD"/>
    <w:rsid w:val="00E27995"/>
    <w:rsid w:val="00E369F8"/>
    <w:rsid w:val="00E37923"/>
    <w:rsid w:val="00E417E0"/>
    <w:rsid w:val="00E471CF"/>
    <w:rsid w:val="00E511F6"/>
    <w:rsid w:val="00E54FA9"/>
    <w:rsid w:val="00E57DA3"/>
    <w:rsid w:val="00E615B5"/>
    <w:rsid w:val="00E61CC8"/>
    <w:rsid w:val="00E62532"/>
    <w:rsid w:val="00E63D95"/>
    <w:rsid w:val="00E63FB8"/>
    <w:rsid w:val="00E6628F"/>
    <w:rsid w:val="00E671DB"/>
    <w:rsid w:val="00E7068E"/>
    <w:rsid w:val="00E77F72"/>
    <w:rsid w:val="00E81F66"/>
    <w:rsid w:val="00E82BA8"/>
    <w:rsid w:val="00E867E5"/>
    <w:rsid w:val="00E86D32"/>
    <w:rsid w:val="00E87EB1"/>
    <w:rsid w:val="00E94AED"/>
    <w:rsid w:val="00EA15BB"/>
    <w:rsid w:val="00EA2269"/>
    <w:rsid w:val="00EA30FD"/>
    <w:rsid w:val="00EA3FE4"/>
    <w:rsid w:val="00EA5753"/>
    <w:rsid w:val="00EA5D6E"/>
    <w:rsid w:val="00EA7534"/>
    <w:rsid w:val="00EB1593"/>
    <w:rsid w:val="00EB3AE7"/>
    <w:rsid w:val="00EB4969"/>
    <w:rsid w:val="00EB7033"/>
    <w:rsid w:val="00EB7A9A"/>
    <w:rsid w:val="00EC14CD"/>
    <w:rsid w:val="00EC3004"/>
    <w:rsid w:val="00EC44F0"/>
    <w:rsid w:val="00EC47DC"/>
    <w:rsid w:val="00EC68EC"/>
    <w:rsid w:val="00EC700F"/>
    <w:rsid w:val="00EC7148"/>
    <w:rsid w:val="00ED0799"/>
    <w:rsid w:val="00ED1BF1"/>
    <w:rsid w:val="00ED1F46"/>
    <w:rsid w:val="00ED2661"/>
    <w:rsid w:val="00ED33BD"/>
    <w:rsid w:val="00ED6758"/>
    <w:rsid w:val="00ED6A98"/>
    <w:rsid w:val="00ED7FD9"/>
    <w:rsid w:val="00EE0E67"/>
    <w:rsid w:val="00EE6AA9"/>
    <w:rsid w:val="00EF1DA2"/>
    <w:rsid w:val="00EF2083"/>
    <w:rsid w:val="00EF264B"/>
    <w:rsid w:val="00EF2CCA"/>
    <w:rsid w:val="00EF3D89"/>
    <w:rsid w:val="00EF6663"/>
    <w:rsid w:val="00EF6925"/>
    <w:rsid w:val="00F00CA7"/>
    <w:rsid w:val="00F013D8"/>
    <w:rsid w:val="00F02B35"/>
    <w:rsid w:val="00F048B1"/>
    <w:rsid w:val="00F0536C"/>
    <w:rsid w:val="00F059D2"/>
    <w:rsid w:val="00F05A4F"/>
    <w:rsid w:val="00F066FD"/>
    <w:rsid w:val="00F070AE"/>
    <w:rsid w:val="00F13F1C"/>
    <w:rsid w:val="00F1408E"/>
    <w:rsid w:val="00F16C7F"/>
    <w:rsid w:val="00F21F2D"/>
    <w:rsid w:val="00F26FDA"/>
    <w:rsid w:val="00F2796A"/>
    <w:rsid w:val="00F30827"/>
    <w:rsid w:val="00F32B60"/>
    <w:rsid w:val="00F34057"/>
    <w:rsid w:val="00F35F7D"/>
    <w:rsid w:val="00F3717C"/>
    <w:rsid w:val="00F379FC"/>
    <w:rsid w:val="00F40008"/>
    <w:rsid w:val="00F40152"/>
    <w:rsid w:val="00F40A6E"/>
    <w:rsid w:val="00F43A06"/>
    <w:rsid w:val="00F44CCE"/>
    <w:rsid w:val="00F458E7"/>
    <w:rsid w:val="00F476D5"/>
    <w:rsid w:val="00F5059B"/>
    <w:rsid w:val="00F5567C"/>
    <w:rsid w:val="00F60F0C"/>
    <w:rsid w:val="00F60F61"/>
    <w:rsid w:val="00F60FD7"/>
    <w:rsid w:val="00F6111E"/>
    <w:rsid w:val="00F63D80"/>
    <w:rsid w:val="00F6559D"/>
    <w:rsid w:val="00F66D39"/>
    <w:rsid w:val="00F66F83"/>
    <w:rsid w:val="00F70387"/>
    <w:rsid w:val="00F70FFC"/>
    <w:rsid w:val="00F7177B"/>
    <w:rsid w:val="00F7249B"/>
    <w:rsid w:val="00F729CA"/>
    <w:rsid w:val="00F73A37"/>
    <w:rsid w:val="00F7426C"/>
    <w:rsid w:val="00F74F0E"/>
    <w:rsid w:val="00F74FAF"/>
    <w:rsid w:val="00F753B0"/>
    <w:rsid w:val="00F7553F"/>
    <w:rsid w:val="00F76544"/>
    <w:rsid w:val="00F819D9"/>
    <w:rsid w:val="00F821E4"/>
    <w:rsid w:val="00F83DA6"/>
    <w:rsid w:val="00F86267"/>
    <w:rsid w:val="00F91D67"/>
    <w:rsid w:val="00F92970"/>
    <w:rsid w:val="00F92CEA"/>
    <w:rsid w:val="00F93B55"/>
    <w:rsid w:val="00F93C92"/>
    <w:rsid w:val="00F9468B"/>
    <w:rsid w:val="00F9632D"/>
    <w:rsid w:val="00F9660D"/>
    <w:rsid w:val="00F97DDF"/>
    <w:rsid w:val="00FA1AFD"/>
    <w:rsid w:val="00FA24D9"/>
    <w:rsid w:val="00FA27A4"/>
    <w:rsid w:val="00FA507F"/>
    <w:rsid w:val="00FA62BF"/>
    <w:rsid w:val="00FA6334"/>
    <w:rsid w:val="00FA682F"/>
    <w:rsid w:val="00FA68A1"/>
    <w:rsid w:val="00FB0FDF"/>
    <w:rsid w:val="00FB235E"/>
    <w:rsid w:val="00FB24B0"/>
    <w:rsid w:val="00FB4870"/>
    <w:rsid w:val="00FC15CF"/>
    <w:rsid w:val="00FD02C3"/>
    <w:rsid w:val="00FD1D1A"/>
    <w:rsid w:val="00FD2039"/>
    <w:rsid w:val="00FD7119"/>
    <w:rsid w:val="00FE0FCD"/>
    <w:rsid w:val="00FE1675"/>
    <w:rsid w:val="00FE1FFA"/>
    <w:rsid w:val="00FE2786"/>
    <w:rsid w:val="00FE3672"/>
    <w:rsid w:val="00FE602D"/>
    <w:rsid w:val="00FF0277"/>
    <w:rsid w:val="00FF1B97"/>
    <w:rsid w:val="00FF4AF1"/>
    <w:rsid w:val="00FF5D5C"/>
    <w:rsid w:val="00FF5DF0"/>
    <w:rsid w:val="00FF660B"/>
    <w:rsid w:val="00FF69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04190"/>
  <w15:chartTrackingRefBased/>
  <w15:docId w15:val="{726EDC9F-39CE-457E-B735-9CA76017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7F7"/>
    <w:pPr>
      <w:ind w:left="720"/>
      <w:contextualSpacing/>
    </w:pPr>
  </w:style>
  <w:style w:type="character" w:styleId="CommentReference">
    <w:name w:val="annotation reference"/>
    <w:basedOn w:val="DefaultParagraphFont"/>
    <w:uiPriority w:val="99"/>
    <w:semiHidden/>
    <w:unhideWhenUsed/>
    <w:rsid w:val="002821D0"/>
    <w:rPr>
      <w:sz w:val="16"/>
      <w:szCs w:val="16"/>
    </w:rPr>
  </w:style>
  <w:style w:type="paragraph" w:styleId="CommentText">
    <w:name w:val="annotation text"/>
    <w:basedOn w:val="Normal"/>
    <w:link w:val="CommentTextChar"/>
    <w:uiPriority w:val="99"/>
    <w:unhideWhenUsed/>
    <w:rsid w:val="002821D0"/>
    <w:pPr>
      <w:spacing w:line="240" w:lineRule="auto"/>
    </w:pPr>
    <w:rPr>
      <w:sz w:val="20"/>
      <w:szCs w:val="20"/>
      <w:lang w:val="es-AR"/>
    </w:rPr>
  </w:style>
  <w:style w:type="character" w:customStyle="1" w:styleId="CommentTextChar">
    <w:name w:val="Comment Text Char"/>
    <w:basedOn w:val="DefaultParagraphFont"/>
    <w:link w:val="CommentText"/>
    <w:uiPriority w:val="99"/>
    <w:rsid w:val="002821D0"/>
    <w:rPr>
      <w:sz w:val="20"/>
      <w:szCs w:val="20"/>
      <w:lang w:val="es-AR"/>
    </w:rPr>
  </w:style>
  <w:style w:type="character" w:styleId="Hyperlink">
    <w:name w:val="Hyperlink"/>
    <w:basedOn w:val="DefaultParagraphFont"/>
    <w:uiPriority w:val="99"/>
    <w:unhideWhenUsed/>
    <w:rsid w:val="008B7A48"/>
    <w:rPr>
      <w:color w:val="0563C1" w:themeColor="hyperlink"/>
      <w:u w:val="single"/>
    </w:rPr>
  </w:style>
  <w:style w:type="character" w:styleId="UnresolvedMention">
    <w:name w:val="Unresolved Mention"/>
    <w:basedOn w:val="DefaultParagraphFont"/>
    <w:uiPriority w:val="99"/>
    <w:semiHidden/>
    <w:unhideWhenUsed/>
    <w:rsid w:val="008B7A48"/>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212C4"/>
    <w:rPr>
      <w:b/>
      <w:bCs/>
      <w:lang w:val="en-GB"/>
    </w:rPr>
  </w:style>
  <w:style w:type="character" w:customStyle="1" w:styleId="CommentSubjectChar">
    <w:name w:val="Comment Subject Char"/>
    <w:basedOn w:val="CommentTextChar"/>
    <w:link w:val="CommentSubject"/>
    <w:uiPriority w:val="99"/>
    <w:semiHidden/>
    <w:rsid w:val="001212C4"/>
    <w:rPr>
      <w:b/>
      <w:bCs/>
      <w:sz w:val="20"/>
      <w:szCs w:val="20"/>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78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segalaxy.org"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89B70DD9C08446A8443DF534F7285E" ma:contentTypeVersion="13" ma:contentTypeDescription="Create a new document." ma:contentTypeScope="" ma:versionID="182c873cc26429492d3ffab39b26223e">
  <xsd:schema xmlns:xsd="http://www.w3.org/2001/XMLSchema" xmlns:xs="http://www.w3.org/2001/XMLSchema" xmlns:p="http://schemas.microsoft.com/office/2006/metadata/properties" xmlns:ns3="fd689c1b-2561-4a46-ae04-6449f963ff76" xmlns:ns4="04677cab-20cd-44d8-974c-14c664890eaa" targetNamespace="http://schemas.microsoft.com/office/2006/metadata/properties" ma:root="true" ma:fieldsID="85adc935d09a77d6e191b1d6f6e9743a" ns3:_="" ns4:_="">
    <xsd:import namespace="fd689c1b-2561-4a46-ae04-6449f963ff76"/>
    <xsd:import namespace="04677cab-20cd-44d8-974c-14c664890e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89c1b-2561-4a46-ae04-6449f963f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677cab-20cd-44d8-974c-14c664890ea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026D9-433C-4528-BCD4-51868901F6B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80ED8B-FB26-4E47-8ECB-5722356ED454}">
  <ds:schemaRefs>
    <ds:schemaRef ds:uri="http://schemas.microsoft.com/sharepoint/v3/contenttype/forms"/>
  </ds:schemaRefs>
</ds:datastoreItem>
</file>

<file path=customXml/itemProps3.xml><?xml version="1.0" encoding="utf-8"?>
<ds:datastoreItem xmlns:ds="http://schemas.openxmlformats.org/officeDocument/2006/customXml" ds:itemID="{100F3034-8CB5-4920-A8C5-A5E21C8D75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89c1b-2561-4a46-ae04-6449f963ff76"/>
    <ds:schemaRef ds:uri="04677cab-20cd-44d8-974c-14c664890e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1FF44B-7997-4738-B66A-B267E9B67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26289</Words>
  <Characters>149851</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Vitor Bernardes Pinheiro</cp:lastModifiedBy>
  <cp:revision>14</cp:revision>
  <dcterms:created xsi:type="dcterms:W3CDTF">2021-11-25T09:25:00Z</dcterms:created>
  <dcterms:modified xsi:type="dcterms:W3CDTF">2021-11-25T16:44:00Z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http://www.zotero.org/styles/nucleic-acids-research</vt:lpwstr>
  </property>
  <property fmtid="{D5CDD505-2E9C-101B-9397-08002B2CF9AE}" pid="4" name="Mendeley Unique User Id_1">
    <vt:lpwstr>506d6381-2a07-3a28-b1c9-f561a434cfa9</vt:lpwstr>
  </property>
  <property fmtid="{D5CDD505-2E9C-101B-9397-08002B2CF9AE}" pid="5" name="ContentTypeId">
    <vt:lpwstr>0x010100AF89B70DD9C08446A8443DF534F7285E</vt:lpwstr>
  </property>
  <property fmtid="{D5CDD505-2E9C-101B-9397-08002B2CF9AE}" pid="6" name="Mendeley Recent Style Id 0_1">
    <vt:lpwstr>http://www.zotero.org/styles/acs-synthetic-biology</vt:lpwstr>
  </property>
  <property fmtid="{D5CDD505-2E9C-101B-9397-08002B2CF9AE}" pid="7" name="Mendeley Recent Style Name 0_1">
    <vt:lpwstr>ACS Synthetic Biology</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http://www.zotero.org/styles/current-opinion</vt:lpwstr>
  </property>
  <property fmtid="{D5CDD505-2E9C-101B-9397-08002B2CF9AE}" pid="11" name="Mendeley Recent Style Name 2_1">
    <vt:lpwstr>Current Opinion journals</vt:lpwstr>
  </property>
  <property fmtid="{D5CDD505-2E9C-101B-9397-08002B2CF9AE}" pid="12" name="Mendeley Recent Style Id 3_1">
    <vt:lpwstr>http://csl.mendeley.com/styles/444908951/FWOultrabrief</vt:lpwstr>
  </property>
  <property fmtid="{D5CDD505-2E9C-101B-9397-08002B2CF9AE}" pid="13" name="Mendeley Recent Style Name 3_1">
    <vt:lpwstr>FWO_brief based on AMA11th</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8th edition</vt:lpwstr>
  </property>
  <property fmtid="{D5CDD505-2E9C-101B-9397-08002B2CF9AE}" pid="20" name="Mendeley Recent Style Id 7_1">
    <vt:lpwstr>https://csl.mendeley.com/styles/444908951/nature-FWO</vt:lpwstr>
  </property>
  <property fmtid="{D5CDD505-2E9C-101B-9397-08002B2CF9AE}" pid="21" name="Mendeley Recent Style Name 7_1">
    <vt:lpwstr>Nature - FWO</vt:lpwstr>
  </property>
  <property fmtid="{D5CDD505-2E9C-101B-9397-08002B2CF9AE}" pid="22" name="Mendeley Recent Style Id 8_1">
    <vt:lpwstr>http://www.zotero.org/styles/nucleic-acids-research</vt:lpwstr>
  </property>
  <property fmtid="{D5CDD505-2E9C-101B-9397-08002B2CF9AE}" pid="23" name="Mendeley Recent Style Name 8_1">
    <vt:lpwstr>Nucleic Acids Research</vt:lpwstr>
  </property>
  <property fmtid="{D5CDD505-2E9C-101B-9397-08002B2CF9AE}" pid="24" name="Mendeley Recent Style Id 9_1">
    <vt:lpwstr>http://www.zotero.org/styles/oxford-university-press-scimed-numeric</vt:lpwstr>
  </property>
  <property fmtid="{D5CDD505-2E9C-101B-9397-08002B2CF9AE}" pid="25" name="Mendeley Recent Style Name 9_1">
    <vt:lpwstr>Oxford University Press SciMed (numeric)</vt:lpwstr>
  </property>
</Properties>
</file>