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pacing w:val="20"/>
          <w:sz w:val="66"/>
          <w:szCs w:val="66"/>
        </w:rPr>
        <w:t xml:space="preserve">CAMPUS OS</w:t>
      </w:r>
    </w:p>
    <w:p>
      <w:pPr>
        <w:spacing w:before="200"/>
        <w:jc w:val="center"/>
      </w:pPr>
      <w:r>
        <w:rPr>
          <w:i/>
          <w:iCs/>
          <w:color w:val="2E5496"/>
          <w:sz w:val="26"/>
          <w:szCs w:val="26"/>
        </w:rPr>
        <w:t xml:space="preserve">The Digital Operating System for Engineering &amp; Degree Colleges</w:t>
      </w:r>
    </w:p>
    <w:p>
      <w:pPr>
        <w:spacing w:before="800"/>
      </w:pPr>
    </w:p>
    <w:p>
      <w:pPr>
        <w:jc w:val="center"/>
      </w:pPr>
      <w:r>
        <w:rPr>
          <w:b/>
          <w:bCs/>
          <w:color w:val="B8860B"/>
          <w:sz w:val="24"/>
          <w:szCs w:val="24"/>
        </w:rPr>
        <w:t xml:space="preserve">PROJECT REPORT &amp; PARTNERSHIP PROPOSAL</w:t>
      </w:r>
    </w:p>
    <w:p>
      <w:pPr>
        <w:spacing w:before="100"/>
        <w:jc w:val="center"/>
      </w:pPr>
      <w:r>
        <w:rPr>
          <w:color w:val="595959"/>
          <w:sz w:val="21"/>
          <w:szCs w:val="21"/>
        </w:rPr>
        <w:t xml:space="preserve">Prepared for College Management Review &amp; B2B Approval</w:t>
      </w:r>
    </w:p>
    <w:p>
      <w:pPr>
        <w:spacing w:before="2400"/>
      </w:pPr>
    </w:p>
    <w:p>
      <w:pPr>
        <w:jc w:val="center"/>
      </w:pPr>
      <w:r>
        <w:rPr>
          <w:color w:val="595959"/>
          <w:sz w:val="20"/>
          <w:szCs w:val="20"/>
        </w:rPr>
        <w:t xml:space="preserve">Version 1.0</w:t>
      </w:r>
    </w:p>
    <w:p>
      <w:pPr>
        <w:spacing w:before="60"/>
        <w:jc w:val="center"/>
      </w:pPr>
      <w:r>
        <w:rPr>
          <w:i/>
          <w:iCs/>
          <w:color w:val="595959"/>
          <w:sz w:val="18"/>
          <w:szCs w:val="18"/>
        </w:rPr>
        <w:t xml:space="preserve">Confidential — For Internal Evaluation Purposes</w:t>
      </w:r>
    </w:p>
    <w:p>
      <w:r>
        <w:br w:type="page"/>
      </w:r>
    </w:p>
    <w:p>
      <w:pPr>
        <w:spacing w:after="200"/>
      </w:pPr>
      <w:r>
        <w:rPr>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4"/>
        </w:pBdr>
        <w:spacing w:after="200" w:before="400"/>
      </w:pPr>
      <w:r>
        <w:rPr>
          <w:b/>
          <w:bCs/>
          <w:color w:val="1F3864"/>
          <w:sz w:val="30"/>
          <w:szCs w:val="30"/>
        </w:rPr>
        <w:t xml:space="preserve">1. Executive Summary</w:t>
      </w:r>
    </w:p>
    <w:p>
      <w:pPr>
        <w:spacing w:after="160" w:line="276"/>
        <w:jc w:val="both"/>
      </w:pPr>
      <w:r>
        <w:rPr>
          <w:color w:val="222222"/>
          <w:sz w:val="21"/>
          <w:szCs w:val="21"/>
        </w:rPr>
        <w:t xml:space="preserve">Higher education is undergoing rapid transformation. Students expect digital experiences comparable to banking and e-commerce. Parents expect real-time transparency into academic progress and institutional communication. Faculty need tools that reduce administrative load so they can focus on teaching, and management needs real-time visibility to make informed, timely decisions.</w:t>
      </w:r>
    </w:p>
    <w:p>
      <w:pPr>
        <w:spacing w:after="160" w:line="276"/>
        <w:jc w:val="both"/>
      </w:pPr>
      <w:r>
        <w:rPr>
          <w:color w:val="222222"/>
          <w:sz w:val="21"/>
          <w:szCs w:val="21"/>
        </w:rPr>
        <w:t xml:space="preserve">Despite these expectations, most institutions still run on disconnected systems — spreadsheets, paper registers, manual files, and messaging apps — spread across departments. This fragmentation causes delays, duplicated effort, communication gaps, and rising administrative overhead.</w:t>
      </w:r>
    </w:p>
    <w:p>
      <w:pPr>
        <w:spacing w:after="160" w:line="276"/>
        <w:jc w:val="both"/>
      </w:pPr>
      <w:r>
        <w:rPr>
          <w:color w:val="222222"/>
          <w:sz w:val="21"/>
          <w:szCs w:val="21"/>
        </w:rPr>
        <w:t xml:space="preserve">Campus OS has been developed to solve this problem directly: a single, integrated platform that manages the complete lifecycle of an educational institution — from admission to alumni engagement — for every stakeholder, in one place.</w:t>
      </w:r>
    </w:p>
    <w:p>
      <w:pPr>
        <w:spacing w:after="160" w:line="276"/>
        <w:jc w:val="both"/>
      </w:pPr>
      <w:r>
        <w:rPr>
          <w:color w:val="222222"/>
          <w:sz w:val="21"/>
          <w:szCs w:val="21"/>
        </w:rPr>
        <w:t xml:space="preserve">This report presents Campus OS for management review, with the objective of securing approval to pilot and integrate the platform as an institution-wide operating layer, under a structured B2B partnership.</w:t>
      </w:r>
    </w:p>
    <w:p>
      <w:pPr>
        <w:pStyle w:val="Heading1"/>
        <w:pBdr>
          <w:bottom w:val="single" w:color="1F3864" w:sz="6" w:space="4"/>
        </w:pBdr>
        <w:spacing w:after="200" w:before="400"/>
      </w:pPr>
      <w:r>
        <w:rPr>
          <w:b/>
          <w:bCs/>
          <w:color w:val="1F3864"/>
          <w:sz w:val="30"/>
          <w:szCs w:val="30"/>
        </w:rPr>
        <w:t xml:space="preserve">2. The Problem: Why Institutions Need This Now</w:t>
      </w:r>
    </w:p>
    <w:p>
      <w:pPr>
        <w:spacing w:after="160" w:line="276"/>
        <w:jc w:val="both"/>
      </w:pPr>
      <w:r>
        <w:rPr>
          <w:color w:val="222222"/>
          <w:sz w:val="21"/>
          <w:szCs w:val="21"/>
        </w:rPr>
        <w:t xml:space="preserve">Colleges today typically manage admissions through one application, attendance through another, fees through separate accounting software, communication through messaging platforms, examinations through spreadsheets, and placement records manually. This creates a set of recurring, costly problems:</w:t>
      </w:r>
    </w:p>
    <w:p>
      <w:pPr>
        <w:pStyle w:val="ListParagraph"/>
        <w:numPr>
          <w:ilvl w:val="0"/>
          <w:numId w:val="2"/>
        </w:numPr>
        <w:spacing w:after="90"/>
      </w:pPr>
      <w:r>
        <w:rPr>
          <w:color w:val="222222"/>
          <w:sz w:val="21"/>
          <w:szCs w:val="21"/>
        </w:rPr>
        <w:t xml:space="preserve">Data is duplicated across multiple disconnected systems.</w:t>
      </w:r>
    </w:p>
    <w:p>
      <w:pPr>
        <w:pStyle w:val="ListParagraph"/>
        <w:numPr>
          <w:ilvl w:val="0"/>
          <w:numId w:val="2"/>
        </w:numPr>
        <w:spacing w:after="90"/>
      </w:pPr>
      <w:r>
        <w:rPr>
          <w:color w:val="222222"/>
          <w:sz w:val="21"/>
          <w:szCs w:val="21"/>
        </w:rPr>
        <w:t xml:space="preserve">Departments operate in silos with limited visibility into each other's work.</w:t>
      </w:r>
    </w:p>
    <w:p>
      <w:pPr>
        <w:pStyle w:val="ListParagraph"/>
        <w:numPr>
          <w:ilvl w:val="0"/>
          <w:numId w:val="2"/>
        </w:numPr>
        <w:spacing w:after="90"/>
      </w:pPr>
      <w:r>
        <w:rPr>
          <w:color w:val="222222"/>
          <w:sz w:val="21"/>
          <w:szCs w:val="21"/>
        </w:rPr>
        <w:t xml:space="preserve">Reports require manual compilation, slowing down decision-making.</w:t>
      </w:r>
    </w:p>
    <w:p>
      <w:pPr>
        <w:pStyle w:val="ListParagraph"/>
        <w:numPr>
          <w:ilvl w:val="0"/>
          <w:numId w:val="2"/>
        </w:numPr>
        <w:spacing w:after="90"/>
      </w:pPr>
      <w:r>
        <w:rPr>
          <w:color w:val="222222"/>
          <w:sz w:val="21"/>
          <w:szCs w:val="21"/>
        </w:rPr>
        <w:t xml:space="preserve">Parents receive delayed or inconsistent information.</w:t>
      </w:r>
    </w:p>
    <w:p>
      <w:pPr>
        <w:pStyle w:val="ListParagraph"/>
        <w:numPr>
          <w:ilvl w:val="0"/>
          <w:numId w:val="2"/>
        </w:numPr>
        <w:spacing w:after="90"/>
      </w:pPr>
      <w:r>
        <w:rPr>
          <w:color w:val="222222"/>
          <w:sz w:val="21"/>
          <w:szCs w:val="21"/>
        </w:rPr>
        <w:t xml:space="preserve">Students struggle to access timely, accurate updates.</w:t>
      </w:r>
    </w:p>
    <w:p>
      <w:pPr>
        <w:pStyle w:val="ListParagraph"/>
        <w:numPr>
          <w:ilvl w:val="0"/>
          <w:numId w:val="2"/>
        </w:numPr>
        <w:spacing w:after="90"/>
      </w:pPr>
      <w:r>
        <w:rPr>
          <w:color w:val="222222"/>
          <w:sz w:val="21"/>
          <w:szCs w:val="21"/>
        </w:rPr>
        <w:t xml:space="preserve">Faculty lose valuable teaching time to administrative work.</w:t>
      </w:r>
    </w:p>
    <w:p>
      <w:pPr>
        <w:pStyle w:val="ListParagraph"/>
        <w:numPr>
          <w:ilvl w:val="0"/>
          <w:numId w:val="2"/>
        </w:numPr>
        <w:spacing w:after="90"/>
      </w:pPr>
      <w:r>
        <w:rPr>
          <w:color w:val="222222"/>
          <w:sz w:val="21"/>
          <w:szCs w:val="21"/>
        </w:rPr>
        <w:t xml:space="preserve">Management lacks a real-time, institution-wide view of performance.</w:t>
      </w:r>
    </w:p>
    <w:p>
      <w:pPr>
        <w:spacing w:after="160" w:line="276"/>
        <w:jc w:val="both"/>
      </w:pPr>
      <w:r>
        <w:rPr>
          <w:color w:val="222222"/>
          <w:sz w:val="21"/>
          <w:szCs w:val="21"/>
        </w:rPr>
        <w:t xml:space="preserve">Campus OS was built specifically to eliminate these inefficiencies by integrating every major institutional process into one cohesive platform.</w:t>
      </w:r>
    </w:p>
    <w:p>
      <w:pPr>
        <w:pStyle w:val="Heading1"/>
        <w:pBdr>
          <w:bottom w:val="single" w:color="1F3864" w:sz="6" w:space="4"/>
        </w:pBdr>
        <w:spacing w:after="200" w:before="400"/>
      </w:pPr>
      <w:r>
        <w:rPr>
          <w:b/>
          <w:bCs/>
          <w:color w:val="1F3864"/>
          <w:sz w:val="30"/>
          <w:szCs w:val="30"/>
        </w:rPr>
        <w:t xml:space="preserve">3. What Is Campus OS?</w:t>
      </w:r>
    </w:p>
    <w:p>
      <w:pPr>
        <w:spacing w:after="160" w:line="276"/>
        <w:jc w:val="both"/>
      </w:pPr>
      <w:r>
        <w:rPr>
          <w:color w:val="222222"/>
          <w:sz w:val="21"/>
          <w:szCs w:val="21"/>
        </w:rPr>
        <w:t xml:space="preserve">Campus OS is a comprehensive digital platform purpose-built for engineering and degree colleges. It manages academic operations, administration, communication, student services, faculty activities, finance, placements, and institutional growth — through a single integrated system.</w:t>
      </w:r>
    </w:p>
    <w:p>
      <w:pPr>
        <w:spacing w:after="160" w:line="276"/>
        <w:jc w:val="both"/>
      </w:pPr>
      <w:r>
        <w:rPr>
          <w:color w:val="222222"/>
          <w:sz w:val="21"/>
          <w:szCs w:val="21"/>
        </w:rPr>
        <w:t xml:space="preserve">Just as an operating system runs every application on a computer or smartphone, Campus OS runs every activity inside a college. Instead of juggling separate tools for admissions, attendance, examinations, fees, placements, communication, and reporting, an institution operates through one centralized platform that becomes its digital foundation.</w:t>
      </w:r>
    </w:p>
    <w:p>
      <w:pPr>
        <w:pStyle w:val="Heading2"/>
        <w:spacing w:after="140" w:before="280"/>
      </w:pPr>
      <w:r>
        <w:rPr>
          <w:b/>
          <w:bCs/>
          <w:color w:val="2E5496"/>
          <w:sz w:val="24"/>
          <w:szCs w:val="24"/>
        </w:rPr>
        <w:t xml:space="preserve">3.1 Vision</w:t>
      </w:r>
    </w:p>
    <w:p>
      <w:pPr>
        <w:spacing w:after="160" w:line="276"/>
        <w:jc w:val="both"/>
      </w:pPr>
      <w:r>
        <w:rPr>
          <w:color w:val="222222"/>
          <w:sz w:val="21"/>
          <w:szCs w:val="21"/>
        </w:rPr>
        <w:t xml:space="preserve">To empower educational institutions with a connected, intelligent, and future-ready digital ecosystem that enhances learning, improves operational efficiency, and lets institutions focus on delivering quality education.</w:t>
      </w:r>
    </w:p>
    <w:p>
      <w:pPr>
        <w:pStyle w:val="Heading2"/>
        <w:spacing w:after="140" w:before="280"/>
      </w:pPr>
      <w:r>
        <w:rPr>
          <w:b/>
          <w:bCs/>
          <w:color w:val="2E5496"/>
          <w:sz w:val="24"/>
          <w:szCs w:val="24"/>
        </w:rPr>
        <w:t xml:space="preserve">3.2 Mission</w:t>
      </w:r>
    </w:p>
    <w:p>
      <w:pPr>
        <w:spacing w:after="160" w:line="276"/>
        <w:jc w:val="both"/>
      </w:pPr>
      <w:r>
        <w:rPr>
          <w:color w:val="222222"/>
          <w:sz w:val="21"/>
          <w:szCs w:val="21"/>
        </w:rPr>
        <w:t xml:space="preserve">To simplify campus operations through technology by connecting students, faculty, parents, administrators, recruiters, and alumni into one unified platform that promotes transparency, collaboration, automation, and institutional excellence.</w:t>
      </w:r>
    </w:p>
    <w:p>
      <w:pPr>
        <w:pStyle w:val="Heading2"/>
        <w:spacing w:after="140" w:before="280"/>
      </w:pPr>
      <w:r>
        <w:rPr>
          <w:b/>
          <w:bCs/>
          <w:color w:val="2E5496"/>
          <w:sz w:val="24"/>
          <w:szCs w:val="24"/>
        </w:rPr>
        <w:t xml:space="preserve">3.3 Product Philosophy</w:t>
      </w:r>
    </w:p>
    <w:p>
      <w:pPr>
        <w:spacing w:after="160" w:line="276"/>
        <w:jc w:val="both"/>
      </w:pPr>
      <w:r>
        <w:rPr>
          <w:color w:val="222222"/>
          <w:sz w:val="21"/>
          <w:szCs w:val="21"/>
        </w:rPr>
        <w:t xml:space="preserve">Campus OS follows a simple guiding principle: One Institution. One Platform. One Experience. Every stakeholder gets the information they need without relying on multiple applications or manual communication, and the platform is organized around the educational journey — from admission to graduation and beyond — rather than around individual departments.</w:t>
      </w:r>
    </w:p>
    <w:p>
      <w:pPr>
        <w:pStyle w:val="Heading1"/>
        <w:pBdr>
          <w:bottom w:val="single" w:color="1F3864" w:sz="6" w:space="4"/>
        </w:pBdr>
        <w:spacing w:after="200" w:before="400"/>
      </w:pPr>
      <w:r>
        <w:rPr>
          <w:b/>
          <w:bCs/>
          <w:color w:val="1F3864"/>
          <w:sz w:val="30"/>
          <w:szCs w:val="30"/>
        </w:rPr>
        <w:t xml:space="preserve">4. Objectives</w:t>
      </w:r>
    </w:p>
    <w:p>
      <w:pPr>
        <w:pStyle w:val="ListParagraph"/>
        <w:numPr>
          <w:ilvl w:val="0"/>
          <w:numId w:val="2"/>
        </w:numPr>
        <w:spacing w:after="90"/>
      </w:pPr>
      <w:r>
        <w:rPr>
          <w:color w:val="222222"/>
          <w:sz w:val="21"/>
          <w:szCs w:val="21"/>
        </w:rPr>
        <w:t xml:space="preserve">Digitize the complete academic lifecycle.</w:t>
      </w:r>
    </w:p>
    <w:p>
      <w:pPr>
        <w:pStyle w:val="ListParagraph"/>
        <w:numPr>
          <w:ilvl w:val="0"/>
          <w:numId w:val="2"/>
        </w:numPr>
        <w:spacing w:after="90"/>
      </w:pPr>
      <w:r>
        <w:rPr>
          <w:color w:val="222222"/>
          <w:sz w:val="21"/>
          <w:szCs w:val="21"/>
        </w:rPr>
        <w:t xml:space="preserve">Reduce manual administrative work.</w:t>
      </w:r>
    </w:p>
    <w:p>
      <w:pPr>
        <w:pStyle w:val="ListParagraph"/>
        <w:numPr>
          <w:ilvl w:val="0"/>
          <w:numId w:val="2"/>
        </w:numPr>
        <w:spacing w:after="90"/>
      </w:pPr>
      <w:r>
        <w:rPr>
          <w:color w:val="222222"/>
          <w:sz w:val="21"/>
          <w:szCs w:val="21"/>
        </w:rPr>
        <w:t xml:space="preserve">Improve communication among all stakeholders.</w:t>
      </w:r>
    </w:p>
    <w:p>
      <w:pPr>
        <w:pStyle w:val="ListParagraph"/>
        <w:numPr>
          <w:ilvl w:val="0"/>
          <w:numId w:val="2"/>
        </w:numPr>
        <w:spacing w:after="90"/>
      </w:pPr>
      <w:r>
        <w:rPr>
          <w:color w:val="222222"/>
          <w:sz w:val="21"/>
          <w:szCs w:val="21"/>
        </w:rPr>
        <w:t xml:space="preserve">Increase institutional efficiency.</w:t>
      </w:r>
    </w:p>
    <w:p>
      <w:pPr>
        <w:pStyle w:val="ListParagraph"/>
        <w:numPr>
          <w:ilvl w:val="0"/>
          <w:numId w:val="2"/>
        </w:numPr>
        <w:spacing w:after="90"/>
      </w:pPr>
      <w:r>
        <w:rPr>
          <w:color w:val="222222"/>
          <w:sz w:val="21"/>
          <w:szCs w:val="21"/>
        </w:rPr>
        <w:t xml:space="preserve">Enhance student engagement.</w:t>
      </w:r>
    </w:p>
    <w:p>
      <w:pPr>
        <w:pStyle w:val="ListParagraph"/>
        <w:numPr>
          <w:ilvl w:val="0"/>
          <w:numId w:val="2"/>
        </w:numPr>
        <w:spacing w:after="90"/>
      </w:pPr>
      <w:r>
        <w:rPr>
          <w:color w:val="222222"/>
          <w:sz w:val="21"/>
          <w:szCs w:val="21"/>
        </w:rPr>
        <w:t xml:space="preserve">Strengthen parent involvement.</w:t>
      </w:r>
    </w:p>
    <w:p>
      <w:pPr>
        <w:pStyle w:val="ListParagraph"/>
        <w:numPr>
          <w:ilvl w:val="0"/>
          <w:numId w:val="2"/>
        </w:numPr>
        <w:spacing w:after="90"/>
      </w:pPr>
      <w:r>
        <w:rPr>
          <w:color w:val="222222"/>
          <w:sz w:val="21"/>
          <w:szCs w:val="21"/>
        </w:rPr>
        <w:t xml:space="preserve">Support faculty productivity.</w:t>
      </w:r>
    </w:p>
    <w:p>
      <w:pPr>
        <w:pStyle w:val="ListParagraph"/>
        <w:numPr>
          <w:ilvl w:val="0"/>
          <w:numId w:val="2"/>
        </w:numPr>
        <w:spacing w:after="90"/>
      </w:pPr>
      <w:r>
        <w:rPr>
          <w:color w:val="222222"/>
          <w:sz w:val="21"/>
          <w:szCs w:val="21"/>
        </w:rPr>
        <w:t xml:space="preserve">Improve placement readiness.</w:t>
      </w:r>
    </w:p>
    <w:p>
      <w:pPr>
        <w:pStyle w:val="ListParagraph"/>
        <w:numPr>
          <w:ilvl w:val="0"/>
          <w:numId w:val="2"/>
        </w:numPr>
        <w:spacing w:after="90"/>
      </w:pPr>
      <w:r>
        <w:rPr>
          <w:color w:val="222222"/>
          <w:sz w:val="21"/>
          <w:szCs w:val="21"/>
        </w:rPr>
        <w:t xml:space="preserve">Simplify compliance and accreditation.</w:t>
      </w:r>
    </w:p>
    <w:p>
      <w:pPr>
        <w:pStyle w:val="ListParagraph"/>
        <w:numPr>
          <w:ilvl w:val="0"/>
          <w:numId w:val="2"/>
        </w:numPr>
        <w:spacing w:after="90"/>
      </w:pPr>
      <w:r>
        <w:rPr>
          <w:color w:val="222222"/>
          <w:sz w:val="21"/>
          <w:szCs w:val="21"/>
        </w:rPr>
        <w:t xml:space="preserve">Enable data-driven decision making.</w:t>
      </w:r>
    </w:p>
    <w:p>
      <w:pPr>
        <w:pStyle w:val="Heading1"/>
        <w:pBdr>
          <w:bottom w:val="single" w:color="1F3864" w:sz="6" w:space="4"/>
        </w:pBdr>
        <w:spacing w:after="200" w:before="400"/>
      </w:pPr>
      <w:r>
        <w:rPr>
          <w:b/>
          <w:bCs/>
          <w:color w:val="1F3864"/>
          <w:sz w:val="30"/>
          <w:szCs w:val="30"/>
        </w:rPr>
        <w:t xml:space="preserve">5. Platform Architecture: Six Integrated Workspaces</w:t>
      </w:r>
    </w:p>
    <w:p>
      <w:pPr>
        <w:spacing w:after="160" w:line="276"/>
        <w:jc w:val="both"/>
      </w:pPr>
      <w:r>
        <w:rPr>
          <w:color w:val="222222"/>
          <w:sz w:val="21"/>
          <w:szCs w:val="21"/>
        </w:rPr>
        <w:t xml:space="preserve">Campus OS is organized into six integrated workspaces that together manage the complete functioning of an institution. This modular design allows the platform to be adopted in phases while still operating as one connected system.</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6980"/>
      </w:tblGrid>
      <w:tr>
        <w:trPr>
          <w:tblHeader/>
        </w:trPr>
        <w:tc>
          <w:tcPr>
            <w:tcW w:type="dxa" w:w="2600"/>
            <w:shd w:fill="1F3864" w:val="clear"/>
            <w:tcMar>
              <w:top w:type="dxa" w:w="100"/>
              <w:left w:type="dxa" w:w="120"/>
              <w:bottom w:type="dxa" w:w="100"/>
              <w:right w:type="dxa" w:w="120"/>
            </w:tcMar>
            <w:vAlign w:val="center"/>
          </w:tcPr>
          <w:p>
            <w:pPr>
              <w:spacing w:after="40"/>
            </w:pPr>
            <w:r>
              <w:rPr>
                <w:b/>
                <w:bCs/>
                <w:color w:val="FFFFFF"/>
                <w:sz w:val="20"/>
                <w:szCs w:val="20"/>
              </w:rPr>
              <w:t xml:space="preserve">Workspace</w:t>
            </w:r>
          </w:p>
        </w:tc>
        <w:tc>
          <w:tcPr>
            <w:tcW w:type="dxa" w:w="6980"/>
            <w:shd w:fill="1F3864" w:val="clear"/>
            <w:tcMar>
              <w:top w:type="dxa" w:w="100"/>
              <w:left w:type="dxa" w:w="120"/>
              <w:bottom w:type="dxa" w:w="100"/>
              <w:right w:type="dxa" w:w="120"/>
            </w:tcMar>
            <w:vAlign w:val="center"/>
          </w:tcPr>
          <w:p>
            <w:pPr>
              <w:spacing w:after="40"/>
            </w:pPr>
            <w:r>
              <w:rPr>
                <w:b/>
                <w:bCs/>
                <w:color w:val="FFFFFF"/>
                <w:sz w:val="20"/>
                <w:szCs w:val="20"/>
              </w:rPr>
              <w:t xml:space="preserve">What It Covers</w:t>
            </w:r>
          </w:p>
        </w:tc>
      </w:tr>
      <w:tr>
        <w:tc>
          <w:tcPr>
            <w:tcW w:type="dxa" w:w="2600"/>
            <w:tcMar>
              <w:top w:type="dxa" w:w="90"/>
              <w:left w:type="dxa" w:w="120"/>
              <w:bottom w:type="dxa" w:w="90"/>
              <w:right w:type="dxa" w:w="120"/>
            </w:tcMar>
            <w:vAlign w:val="center"/>
          </w:tcPr>
          <w:p>
            <w:pPr>
              <w:spacing w:after="40"/>
            </w:pPr>
            <w:r>
              <w:rPr>
                <w:color w:val="222222"/>
                <w:sz w:val="20"/>
                <w:szCs w:val="20"/>
              </w:rPr>
              <w:t xml:space="preserve">Campus Core</w:t>
            </w:r>
          </w:p>
        </w:tc>
        <w:tc>
          <w:tcPr>
            <w:tcW w:type="dxa" w:w="6980"/>
            <w:tcMar>
              <w:top w:type="dxa" w:w="90"/>
              <w:left w:type="dxa" w:w="120"/>
              <w:bottom w:type="dxa" w:w="90"/>
              <w:right w:type="dxa" w:w="120"/>
            </w:tcMar>
            <w:vAlign w:val="center"/>
          </w:tcPr>
          <w:p>
            <w:pPr>
              <w:spacing w:after="40"/>
            </w:pPr>
            <w:r>
              <w:rPr>
                <w:color w:val="222222"/>
                <w:sz w:val="20"/>
                <w:szCs w:val="20"/>
              </w:rPr>
              <w:t xml:space="preserve">Admissions, student records, academics, attendance, examinations, finance, and digital documents — the essential academic and administrative backbone.</w:t>
            </w:r>
          </w:p>
        </w:tc>
      </w:tr>
      <w:tr>
        <w:tc>
          <w:tcPr>
            <w:tcW w:type="dxa" w:w="2600"/>
            <w:shd w:fill="F2F2F2" w:val="clear"/>
            <w:tcMar>
              <w:top w:type="dxa" w:w="90"/>
              <w:left w:type="dxa" w:w="120"/>
              <w:bottom w:type="dxa" w:w="90"/>
              <w:right w:type="dxa" w:w="120"/>
            </w:tcMar>
            <w:vAlign w:val="center"/>
          </w:tcPr>
          <w:p>
            <w:pPr>
              <w:spacing w:after="40"/>
            </w:pPr>
            <w:r>
              <w:rPr>
                <w:color w:val="222222"/>
                <w:sz w:val="20"/>
                <w:szCs w:val="20"/>
              </w:rPr>
              <w:t xml:space="preserve">Campus Experience</w:t>
            </w:r>
          </w:p>
        </w:tc>
        <w:tc>
          <w:tcPr>
            <w:tcW w:type="dxa" w:w="6980"/>
            <w:shd w:fill="F2F2F2" w:val="clear"/>
            <w:tcMar>
              <w:top w:type="dxa" w:w="90"/>
              <w:left w:type="dxa" w:w="120"/>
              <w:bottom w:type="dxa" w:w="90"/>
              <w:right w:type="dxa" w:w="120"/>
            </w:tcMar>
            <w:vAlign w:val="center"/>
          </w:tcPr>
          <w:p>
            <w:pPr>
              <w:spacing w:after="40"/>
            </w:pPr>
            <w:r>
              <w:rPr>
                <w:color w:val="222222"/>
                <w:sz w:val="20"/>
                <w:szCs w:val="20"/>
              </w:rPr>
              <w:t xml:space="preserve">Communication tools, events, clubs, hostel management, transport, library services, parent engagement, grievance management, and campus services.</w:t>
            </w:r>
          </w:p>
        </w:tc>
      </w:tr>
      <w:tr>
        <w:tc>
          <w:tcPr>
            <w:tcW w:type="dxa" w:w="2600"/>
            <w:tcMar>
              <w:top w:type="dxa" w:w="90"/>
              <w:left w:type="dxa" w:w="120"/>
              <w:bottom w:type="dxa" w:w="90"/>
              <w:right w:type="dxa" w:w="120"/>
            </w:tcMar>
            <w:vAlign w:val="center"/>
          </w:tcPr>
          <w:p>
            <w:pPr>
              <w:spacing w:after="40"/>
            </w:pPr>
            <w:r>
              <w:rPr>
                <w:color w:val="222222"/>
                <w:sz w:val="20"/>
                <w:szCs w:val="20"/>
              </w:rPr>
              <w:t xml:space="preserve">Faculty Studio</w:t>
            </w:r>
          </w:p>
        </w:tc>
        <w:tc>
          <w:tcPr>
            <w:tcW w:type="dxa" w:w="6980"/>
            <w:tcMar>
              <w:top w:type="dxa" w:w="90"/>
              <w:left w:type="dxa" w:w="120"/>
              <w:bottom w:type="dxa" w:w="90"/>
              <w:right w:type="dxa" w:w="120"/>
            </w:tcMar>
            <w:vAlign w:val="center"/>
          </w:tcPr>
          <w:p>
            <w:pPr>
              <w:spacing w:after="40"/>
            </w:pPr>
            <w:r>
              <w:rPr>
                <w:color w:val="222222"/>
                <w:sz w:val="20"/>
                <w:szCs w:val="20"/>
              </w:rPr>
              <w:t xml:space="preserve">Teaching tools, attendance, lesson planning, assessments, research management, academic collaboration, and AI-assisted teaching support.</w:t>
            </w:r>
          </w:p>
        </w:tc>
      </w:tr>
      <w:tr>
        <w:tc>
          <w:tcPr>
            <w:tcW w:type="dxa" w:w="2600"/>
            <w:shd w:fill="F2F2F2" w:val="clear"/>
            <w:tcMar>
              <w:top w:type="dxa" w:w="90"/>
              <w:left w:type="dxa" w:w="120"/>
              <w:bottom w:type="dxa" w:w="90"/>
              <w:right w:type="dxa" w:w="120"/>
            </w:tcMar>
            <w:vAlign w:val="center"/>
          </w:tcPr>
          <w:p>
            <w:pPr>
              <w:spacing w:after="40"/>
            </w:pPr>
            <w:r>
              <w:rPr>
                <w:color w:val="222222"/>
                <w:sz w:val="20"/>
                <w:szCs w:val="20"/>
              </w:rPr>
              <w:t xml:space="preserve">Career Hub</w:t>
            </w:r>
          </w:p>
        </w:tc>
        <w:tc>
          <w:tcPr>
            <w:tcW w:type="dxa" w:w="6980"/>
            <w:shd w:fill="F2F2F2" w:val="clear"/>
            <w:tcMar>
              <w:top w:type="dxa" w:w="90"/>
              <w:left w:type="dxa" w:w="120"/>
              <w:bottom w:type="dxa" w:w="90"/>
              <w:right w:type="dxa" w:w="120"/>
            </w:tcMar>
            <w:vAlign w:val="center"/>
          </w:tcPr>
          <w:p>
            <w:pPr>
              <w:spacing w:after="40"/>
            </w:pPr>
            <w:r>
              <w:rPr>
                <w:color w:val="222222"/>
                <w:sz w:val="20"/>
                <w:szCs w:val="20"/>
              </w:rPr>
              <w:t xml:space="preserve">Career planning, resume building, internships, placement management, industry interaction, and alumni networking.</w:t>
            </w:r>
          </w:p>
        </w:tc>
      </w:tr>
      <w:tr>
        <w:tc>
          <w:tcPr>
            <w:tcW w:type="dxa" w:w="2600"/>
            <w:tcMar>
              <w:top w:type="dxa" w:w="90"/>
              <w:left w:type="dxa" w:w="120"/>
              <w:bottom w:type="dxa" w:w="90"/>
              <w:right w:type="dxa" w:w="120"/>
            </w:tcMar>
            <w:vAlign w:val="center"/>
          </w:tcPr>
          <w:p>
            <w:pPr>
              <w:spacing w:after="40"/>
            </w:pPr>
            <w:r>
              <w:rPr>
                <w:color w:val="222222"/>
                <w:sz w:val="20"/>
                <w:szCs w:val="20"/>
              </w:rPr>
              <w:t xml:space="preserve">Institution Operations</w:t>
            </w:r>
          </w:p>
        </w:tc>
        <w:tc>
          <w:tcPr>
            <w:tcW w:type="dxa" w:w="6980"/>
            <w:tcMar>
              <w:top w:type="dxa" w:w="90"/>
              <w:left w:type="dxa" w:w="120"/>
              <w:bottom w:type="dxa" w:w="90"/>
              <w:right w:type="dxa" w:w="120"/>
            </w:tcMar>
            <w:vAlign w:val="center"/>
          </w:tcPr>
          <w:p>
            <w:pPr>
              <w:spacing w:after="40"/>
            </w:pPr>
            <w:r>
              <w:rPr>
                <w:color w:val="222222"/>
                <w:sz w:val="20"/>
                <w:szCs w:val="20"/>
              </w:rPr>
              <w:t xml:space="preserve">HR, procurement, infrastructure management, accreditation documentation, compliance, inventory, and asset management.</w:t>
            </w:r>
          </w:p>
        </w:tc>
      </w:tr>
      <w:tr>
        <w:tc>
          <w:tcPr>
            <w:tcW w:type="dxa" w:w="2600"/>
            <w:shd w:fill="F2F2F2" w:val="clear"/>
            <w:tcMar>
              <w:top w:type="dxa" w:w="90"/>
              <w:left w:type="dxa" w:w="120"/>
              <w:bottom w:type="dxa" w:w="90"/>
              <w:right w:type="dxa" w:w="120"/>
            </w:tcMar>
            <w:vAlign w:val="center"/>
          </w:tcPr>
          <w:p>
            <w:pPr>
              <w:spacing w:after="40"/>
            </w:pPr>
            <w:r>
              <w:rPr>
                <w:color w:val="222222"/>
                <w:sz w:val="20"/>
                <w:szCs w:val="20"/>
              </w:rPr>
              <w:t xml:space="preserve">Intelligence Center</w:t>
            </w:r>
          </w:p>
        </w:tc>
        <w:tc>
          <w:tcPr>
            <w:tcW w:type="dxa" w:w="6980"/>
            <w:shd w:fill="F2F2F2" w:val="clear"/>
            <w:tcMar>
              <w:top w:type="dxa" w:w="90"/>
              <w:left w:type="dxa" w:w="120"/>
              <w:bottom w:type="dxa" w:w="90"/>
              <w:right w:type="dxa" w:w="120"/>
            </w:tcMar>
            <w:vAlign w:val="center"/>
          </w:tcPr>
          <w:p>
            <w:pPr>
              <w:spacing w:after="40"/>
            </w:pPr>
            <w:r>
              <w:rPr>
                <w:color w:val="222222"/>
                <w:sz w:val="20"/>
                <w:szCs w:val="20"/>
              </w:rPr>
              <w:t xml:space="preserve">Real-time dashboards, analytics, predictive insights, AI-assisted decision support, and executive reporting.</w:t>
            </w:r>
          </w:p>
        </w:tc>
      </w:tr>
    </w:tbl>
    <w:p>
      <w:pPr>
        <w:pStyle w:val="Heading1"/>
        <w:pBdr>
          <w:bottom w:val="single" w:color="1F3864" w:sz="6" w:space="4"/>
        </w:pBdr>
        <w:spacing w:after="200" w:before="400"/>
      </w:pPr>
      <w:r>
        <w:rPr>
          <w:b/>
          <w:bCs/>
          <w:color w:val="1F3864"/>
          <w:sz w:val="30"/>
          <w:szCs w:val="30"/>
        </w:rPr>
        <w:t xml:space="preserve">6. Stakeholder Ecosystem</w:t>
      </w:r>
    </w:p>
    <w:p>
      <w:pPr>
        <w:spacing w:after="160" w:line="276"/>
        <w:jc w:val="both"/>
      </w:pPr>
      <w:r>
        <w:rPr>
          <w:color w:val="222222"/>
          <w:sz w:val="21"/>
          <w:szCs w:val="21"/>
        </w:rPr>
        <w:t xml:space="preserve">Campus OS is designed for every participant in the institutional ecosystem, each with a role-based experience tailored to their needs.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3200"/>
        <w:gridCol w:w="6380"/>
      </w:tblGrid>
      <w:tr>
        <w:trPr>
          <w:tblHeader/>
        </w:trPr>
        <w:tc>
          <w:tcPr>
            <w:tcW w:type="dxa" w:w="3200"/>
            <w:shd w:fill="1F3864" w:val="clear"/>
            <w:tcMar>
              <w:top w:type="dxa" w:w="100"/>
              <w:left w:type="dxa" w:w="120"/>
              <w:bottom w:type="dxa" w:w="100"/>
              <w:right w:type="dxa" w:w="120"/>
            </w:tcMar>
            <w:vAlign w:val="center"/>
          </w:tcPr>
          <w:p>
            <w:pPr>
              <w:spacing w:after="40"/>
            </w:pPr>
            <w:r>
              <w:rPr>
                <w:b/>
                <w:bCs/>
                <w:color w:val="FFFFFF"/>
                <w:sz w:val="20"/>
                <w:szCs w:val="20"/>
              </w:rPr>
              <w:t xml:space="preserve">Stakeholder</w:t>
            </w:r>
          </w:p>
        </w:tc>
        <w:tc>
          <w:tcPr>
            <w:tcW w:type="dxa" w:w="6380"/>
            <w:shd w:fill="1F3864" w:val="clear"/>
            <w:tcMar>
              <w:top w:type="dxa" w:w="100"/>
              <w:left w:type="dxa" w:w="120"/>
              <w:bottom w:type="dxa" w:w="100"/>
              <w:right w:type="dxa" w:w="120"/>
            </w:tcMar>
            <w:vAlign w:val="center"/>
          </w:tcPr>
          <w:p>
            <w:pPr>
              <w:spacing w:after="40"/>
            </w:pPr>
            <w:r>
              <w:rPr>
                <w:b/>
                <w:bCs/>
                <w:color w:val="FFFFFF"/>
                <w:sz w:val="20"/>
                <w:szCs w:val="20"/>
              </w:rPr>
              <w:t xml:space="preserve">What They Get</w:t>
            </w:r>
          </w:p>
        </w:tc>
      </w:tr>
      <w:tr>
        <w:tc>
          <w:tcPr>
            <w:tcW w:type="dxa" w:w="3200"/>
            <w:tcMar>
              <w:top w:type="dxa" w:w="90"/>
              <w:left w:type="dxa" w:w="120"/>
              <w:bottom w:type="dxa" w:w="90"/>
              <w:right w:type="dxa" w:w="120"/>
            </w:tcMar>
            <w:vAlign w:val="center"/>
          </w:tcPr>
          <w:p>
            <w:pPr>
              <w:spacing w:after="40"/>
            </w:pPr>
            <w:r>
              <w:rPr>
                <w:color w:val="222222"/>
                <w:sz w:val="20"/>
                <w:szCs w:val="20"/>
              </w:rPr>
              <w:t xml:space="preserve">Students</w:t>
            </w:r>
          </w:p>
        </w:tc>
        <w:tc>
          <w:tcPr>
            <w:tcW w:type="dxa" w:w="6380"/>
            <w:tcMar>
              <w:top w:type="dxa" w:w="90"/>
              <w:left w:type="dxa" w:w="120"/>
              <w:bottom w:type="dxa" w:w="90"/>
              <w:right w:type="dxa" w:w="120"/>
            </w:tcMar>
            <w:vAlign w:val="center"/>
          </w:tcPr>
          <w:p>
            <w:pPr>
              <w:spacing w:after="40"/>
            </w:pPr>
            <w:r>
              <w:rPr>
                <w:color w:val="222222"/>
                <w:sz w:val="20"/>
                <w:szCs w:val="20"/>
              </w:rPr>
              <w:t xml:space="preserve">Academic information, schedules, attendance, assignments, digital documents, placements, and career services in a single application.</w:t>
            </w:r>
          </w:p>
        </w:tc>
      </w:tr>
      <w:tr>
        <w:tc>
          <w:tcPr>
            <w:tcW w:type="dxa" w:w="3200"/>
            <w:shd w:fill="F2F2F2" w:val="clear"/>
            <w:tcMar>
              <w:top w:type="dxa" w:w="90"/>
              <w:left w:type="dxa" w:w="120"/>
              <w:bottom w:type="dxa" w:w="90"/>
              <w:right w:type="dxa" w:w="120"/>
            </w:tcMar>
            <w:vAlign w:val="center"/>
          </w:tcPr>
          <w:p>
            <w:pPr>
              <w:spacing w:after="40"/>
            </w:pPr>
            <w:r>
              <w:rPr>
                <w:color w:val="222222"/>
                <w:sz w:val="20"/>
                <w:szCs w:val="20"/>
              </w:rPr>
              <w:t xml:space="preserve">Faculty</w:t>
            </w:r>
          </w:p>
        </w:tc>
        <w:tc>
          <w:tcPr>
            <w:tcW w:type="dxa" w:w="6380"/>
            <w:shd w:fill="F2F2F2" w:val="clear"/>
            <w:tcMar>
              <w:top w:type="dxa" w:w="90"/>
              <w:left w:type="dxa" w:w="120"/>
              <w:bottom w:type="dxa" w:w="90"/>
              <w:right w:type="dxa" w:w="120"/>
            </w:tcMar>
            <w:vAlign w:val="center"/>
          </w:tcPr>
          <w:p>
            <w:pPr>
              <w:spacing w:after="40"/>
            </w:pPr>
            <w:r>
              <w:rPr>
                <w:color w:val="222222"/>
                <w:sz w:val="20"/>
                <w:szCs w:val="20"/>
              </w:rPr>
              <w:t xml:space="preserve">Teaching, assessment, attendance, research, and communication tools in one workspace.</w:t>
            </w:r>
          </w:p>
        </w:tc>
      </w:tr>
      <w:tr>
        <w:tc>
          <w:tcPr>
            <w:tcW w:type="dxa" w:w="3200"/>
            <w:tcMar>
              <w:top w:type="dxa" w:w="90"/>
              <w:left w:type="dxa" w:w="120"/>
              <w:bottom w:type="dxa" w:w="90"/>
              <w:right w:type="dxa" w:w="120"/>
            </w:tcMar>
            <w:vAlign w:val="center"/>
          </w:tcPr>
          <w:p>
            <w:pPr>
              <w:spacing w:after="40"/>
            </w:pPr>
            <w:r>
              <w:rPr>
                <w:color w:val="222222"/>
                <w:sz w:val="20"/>
                <w:szCs w:val="20"/>
              </w:rPr>
              <w:t xml:space="preserve">Parents</w:t>
            </w:r>
          </w:p>
        </w:tc>
        <w:tc>
          <w:tcPr>
            <w:tcW w:type="dxa" w:w="6380"/>
            <w:tcMar>
              <w:top w:type="dxa" w:w="90"/>
              <w:left w:type="dxa" w:w="120"/>
              <w:bottom w:type="dxa" w:w="90"/>
              <w:right w:type="dxa" w:w="120"/>
            </w:tcMar>
            <w:vAlign w:val="center"/>
          </w:tcPr>
          <w:p>
            <w:pPr>
              <w:spacing w:after="40"/>
            </w:pPr>
            <w:r>
              <w:rPr>
                <w:color w:val="222222"/>
                <w:sz w:val="20"/>
                <w:szCs w:val="20"/>
              </w:rPr>
              <w:t xml:space="preserve">Visibility into attendance, academic performance, fee payments, and announcements without needing to contact the institution.</w:t>
            </w:r>
          </w:p>
        </w:tc>
      </w:tr>
      <w:tr>
        <w:tc>
          <w:tcPr>
            <w:tcW w:type="dxa" w:w="3200"/>
            <w:shd w:fill="F2F2F2" w:val="clear"/>
            <w:tcMar>
              <w:top w:type="dxa" w:w="90"/>
              <w:left w:type="dxa" w:w="120"/>
              <w:bottom w:type="dxa" w:w="90"/>
              <w:right w:type="dxa" w:w="120"/>
            </w:tcMar>
            <w:vAlign w:val="center"/>
          </w:tcPr>
          <w:p>
            <w:pPr>
              <w:spacing w:after="40"/>
            </w:pPr>
            <w:r>
              <w:rPr>
                <w:color w:val="222222"/>
                <w:sz w:val="20"/>
                <w:szCs w:val="20"/>
              </w:rPr>
              <w:t xml:space="preserve">Administrators</w:t>
            </w:r>
          </w:p>
        </w:tc>
        <w:tc>
          <w:tcPr>
            <w:tcW w:type="dxa" w:w="6380"/>
            <w:shd w:fill="F2F2F2" w:val="clear"/>
            <w:tcMar>
              <w:top w:type="dxa" w:w="90"/>
              <w:left w:type="dxa" w:w="120"/>
              <w:bottom w:type="dxa" w:w="90"/>
              <w:right w:type="dxa" w:w="120"/>
            </w:tcMar>
            <w:vAlign w:val="center"/>
          </w:tcPr>
          <w:p>
            <w:pPr>
              <w:spacing w:after="40"/>
            </w:pPr>
            <w:r>
              <w:rPr>
                <w:color w:val="222222"/>
                <w:sz w:val="20"/>
                <w:szCs w:val="20"/>
              </w:rPr>
              <w:t xml:space="preserve">Centralized oversight of admissions, finance, examinations, infrastructure, compliance, and reporting.</w:t>
            </w:r>
          </w:p>
        </w:tc>
      </w:tr>
      <w:tr>
        <w:tc>
          <w:tcPr>
            <w:tcW w:type="dxa" w:w="3200"/>
            <w:tcMar>
              <w:top w:type="dxa" w:w="90"/>
              <w:left w:type="dxa" w:w="120"/>
              <w:bottom w:type="dxa" w:w="90"/>
              <w:right w:type="dxa" w:w="120"/>
            </w:tcMar>
            <w:vAlign w:val="center"/>
          </w:tcPr>
          <w:p>
            <w:pPr>
              <w:spacing w:after="40"/>
            </w:pPr>
            <w:r>
              <w:rPr>
                <w:color w:val="222222"/>
                <w:sz w:val="20"/>
                <w:szCs w:val="20"/>
              </w:rPr>
              <w:t xml:space="preserve">Management</w:t>
            </w:r>
          </w:p>
        </w:tc>
        <w:tc>
          <w:tcPr>
            <w:tcW w:type="dxa" w:w="6380"/>
            <w:tcMar>
              <w:top w:type="dxa" w:w="90"/>
              <w:left w:type="dxa" w:w="120"/>
              <w:bottom w:type="dxa" w:w="90"/>
              <w:right w:type="dxa" w:w="120"/>
            </w:tcMar>
            <w:vAlign w:val="center"/>
          </w:tcPr>
          <w:p>
            <w:pPr>
              <w:spacing w:after="40"/>
            </w:pPr>
            <w:r>
              <w:rPr>
                <w:color w:val="222222"/>
                <w:sz w:val="20"/>
                <w:szCs w:val="20"/>
              </w:rPr>
              <w:t xml:space="preserve">Institution-wide analytics that support strategic planning and informed decision-making.</w:t>
            </w:r>
          </w:p>
        </w:tc>
      </w:tr>
      <w:tr>
        <w:tc>
          <w:tcPr>
            <w:tcW w:type="dxa" w:w="3200"/>
            <w:shd w:fill="F2F2F2" w:val="clear"/>
            <w:tcMar>
              <w:top w:type="dxa" w:w="90"/>
              <w:left w:type="dxa" w:w="120"/>
              <w:bottom w:type="dxa" w:w="90"/>
              <w:right w:type="dxa" w:w="120"/>
            </w:tcMar>
            <w:vAlign w:val="center"/>
          </w:tcPr>
          <w:p>
            <w:pPr>
              <w:spacing w:after="40"/>
            </w:pPr>
            <w:r>
              <w:rPr>
                <w:color w:val="222222"/>
                <w:sz w:val="20"/>
                <w:szCs w:val="20"/>
              </w:rPr>
              <w:t xml:space="preserve">Recruiters &amp; Industry Partners</w:t>
            </w:r>
          </w:p>
        </w:tc>
        <w:tc>
          <w:tcPr>
            <w:tcW w:type="dxa" w:w="6380"/>
            <w:shd w:fill="F2F2F2" w:val="clear"/>
            <w:tcMar>
              <w:top w:type="dxa" w:w="90"/>
              <w:left w:type="dxa" w:w="120"/>
              <w:bottom w:type="dxa" w:w="90"/>
              <w:right w:type="dxa" w:w="120"/>
            </w:tcMar>
            <w:vAlign w:val="center"/>
          </w:tcPr>
          <w:p>
            <w:pPr>
              <w:spacing w:after="40"/>
            </w:pPr>
            <w:r>
              <w:rPr>
                <w:color w:val="222222"/>
                <w:sz w:val="20"/>
                <w:szCs w:val="20"/>
              </w:rPr>
              <w:t xml:space="preserve">Direct engagement with the institution for internships, placements, and collaborative initiatives.</w:t>
            </w:r>
          </w:p>
        </w:tc>
      </w:tr>
      <w:tr>
        <w:tc>
          <w:tcPr>
            <w:tcW w:type="dxa" w:w="3200"/>
            <w:tcMar>
              <w:top w:type="dxa" w:w="90"/>
              <w:left w:type="dxa" w:w="120"/>
              <w:bottom w:type="dxa" w:w="90"/>
              <w:right w:type="dxa" w:w="120"/>
            </w:tcMar>
            <w:vAlign w:val="center"/>
          </w:tcPr>
          <w:p>
            <w:pPr>
              <w:spacing w:after="40"/>
            </w:pPr>
            <w:r>
              <w:rPr>
                <w:color w:val="222222"/>
                <w:sz w:val="20"/>
                <w:szCs w:val="20"/>
              </w:rPr>
              <w:t xml:space="preserve">Alumni</w:t>
            </w:r>
          </w:p>
        </w:tc>
        <w:tc>
          <w:tcPr>
            <w:tcW w:type="dxa" w:w="6380"/>
            <w:tcMar>
              <w:top w:type="dxa" w:w="90"/>
              <w:left w:type="dxa" w:w="120"/>
              <w:bottom w:type="dxa" w:w="90"/>
              <w:right w:type="dxa" w:w="120"/>
            </w:tcMar>
            <w:vAlign w:val="center"/>
          </w:tcPr>
          <w:p>
            <w:pPr>
              <w:spacing w:after="40"/>
            </w:pPr>
            <w:r>
              <w:rPr>
                <w:color w:val="222222"/>
                <w:sz w:val="20"/>
                <w:szCs w:val="20"/>
              </w:rPr>
              <w:t xml:space="preserve">Ongoing connection through mentoring, networking, and career opportunities.</w:t>
            </w:r>
          </w:p>
        </w:tc>
      </w:tr>
    </w:tbl>
    <w:p>
      <w:pPr>
        <w:pStyle w:val="Heading1"/>
        <w:pBdr>
          <w:bottom w:val="single" w:color="1F3864" w:sz="6" w:space="4"/>
        </w:pBdr>
        <w:spacing w:after="200" w:before="400"/>
      </w:pPr>
      <w:r>
        <w:rPr>
          <w:b/>
          <w:bCs/>
          <w:color w:val="1F3864"/>
          <w:sz w:val="30"/>
          <w:szCs w:val="30"/>
        </w:rPr>
        <w:t xml:space="preserve">7. Key Benefits by Stakeholder Group</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400"/>
        <w:gridCol w:w="7180"/>
      </w:tblGrid>
      <w:tr>
        <w:trPr>
          <w:tblHeader/>
        </w:trPr>
        <w:tc>
          <w:tcPr>
            <w:tcW w:type="dxa" w:w="2400"/>
            <w:shd w:fill="1F3864" w:val="clear"/>
            <w:tcMar>
              <w:top w:type="dxa" w:w="100"/>
              <w:left w:type="dxa" w:w="120"/>
              <w:bottom w:type="dxa" w:w="100"/>
              <w:right w:type="dxa" w:w="120"/>
            </w:tcMar>
            <w:vAlign w:val="center"/>
          </w:tcPr>
          <w:p>
            <w:pPr>
              <w:spacing w:after="40"/>
            </w:pPr>
            <w:r>
              <w:rPr>
                <w:b/>
                <w:bCs/>
                <w:color w:val="FFFFFF"/>
                <w:sz w:val="20"/>
                <w:szCs w:val="20"/>
              </w:rPr>
              <w:t xml:space="preserve">Group</w:t>
            </w:r>
          </w:p>
        </w:tc>
        <w:tc>
          <w:tcPr>
            <w:tcW w:type="dxa" w:w="7180"/>
            <w:shd w:fill="1F3864" w:val="clear"/>
            <w:tcMar>
              <w:top w:type="dxa" w:w="100"/>
              <w:left w:type="dxa" w:w="120"/>
              <w:bottom w:type="dxa" w:w="100"/>
              <w:right w:type="dxa" w:w="120"/>
            </w:tcMar>
            <w:vAlign w:val="center"/>
          </w:tcPr>
          <w:p>
            <w:pPr>
              <w:spacing w:after="40"/>
            </w:pPr>
            <w:r>
              <w:rPr>
                <w:b/>
                <w:bCs/>
                <w:color w:val="FFFFFF"/>
                <w:sz w:val="20"/>
                <w:szCs w:val="20"/>
              </w:rPr>
              <w:t xml:space="preserve">Benefit</w:t>
            </w:r>
          </w:p>
        </w:tc>
      </w:tr>
      <w:tr>
        <w:tc>
          <w:tcPr>
            <w:tcW w:type="dxa" w:w="2400"/>
            <w:tcMar>
              <w:top w:type="dxa" w:w="90"/>
              <w:left w:type="dxa" w:w="120"/>
              <w:bottom w:type="dxa" w:w="90"/>
              <w:right w:type="dxa" w:w="120"/>
            </w:tcMar>
            <w:vAlign w:val="center"/>
          </w:tcPr>
          <w:p>
            <w:pPr>
              <w:spacing w:after="40"/>
            </w:pPr>
            <w:r>
              <w:rPr>
                <w:color w:val="222222"/>
                <w:sz w:val="20"/>
                <w:szCs w:val="20"/>
              </w:rPr>
              <w:t xml:space="preserve">Management</w:t>
            </w:r>
          </w:p>
        </w:tc>
        <w:tc>
          <w:tcPr>
            <w:tcW w:type="dxa" w:w="7180"/>
            <w:tcMar>
              <w:top w:type="dxa" w:w="90"/>
              <w:left w:type="dxa" w:w="120"/>
              <w:bottom w:type="dxa" w:w="90"/>
              <w:right w:type="dxa" w:w="120"/>
            </w:tcMar>
            <w:vAlign w:val="center"/>
          </w:tcPr>
          <w:p>
            <w:pPr>
              <w:spacing w:after="40"/>
            </w:pPr>
            <w:r>
              <w:rPr>
                <w:color w:val="222222"/>
                <w:sz w:val="20"/>
                <w:szCs w:val="20"/>
              </w:rPr>
              <w:t xml:space="preserve">Complete visibility into institutional performance through centralized dashboards and automated reports — enabling faster decisions, better planning, stronger compliance, and efficient resource use.</w:t>
            </w:r>
          </w:p>
        </w:tc>
      </w:tr>
      <w:tr>
        <w:tc>
          <w:tcPr>
            <w:tcW w:type="dxa" w:w="2400"/>
            <w:shd w:fill="F2F2F2" w:val="clear"/>
            <w:tcMar>
              <w:top w:type="dxa" w:w="90"/>
              <w:left w:type="dxa" w:w="120"/>
              <w:bottom w:type="dxa" w:w="90"/>
              <w:right w:type="dxa" w:w="120"/>
            </w:tcMar>
            <w:vAlign w:val="center"/>
          </w:tcPr>
          <w:p>
            <w:pPr>
              <w:spacing w:after="40"/>
            </w:pPr>
            <w:r>
              <w:rPr>
                <w:color w:val="222222"/>
                <w:sz w:val="20"/>
                <w:szCs w:val="20"/>
              </w:rPr>
              <w:t xml:space="preserve">Faculty</w:t>
            </w:r>
          </w:p>
        </w:tc>
        <w:tc>
          <w:tcPr>
            <w:tcW w:type="dxa" w:w="7180"/>
            <w:shd w:fill="F2F2F2" w:val="clear"/>
            <w:tcMar>
              <w:top w:type="dxa" w:w="90"/>
              <w:left w:type="dxa" w:w="120"/>
              <w:bottom w:type="dxa" w:w="90"/>
              <w:right w:type="dxa" w:w="120"/>
            </w:tcMar>
            <w:vAlign w:val="center"/>
          </w:tcPr>
          <w:p>
            <w:pPr>
              <w:spacing w:after="40"/>
            </w:pPr>
            <w:r>
              <w:rPr>
                <w:color w:val="222222"/>
                <w:sz w:val="20"/>
                <w:szCs w:val="20"/>
              </w:rPr>
              <w:t xml:space="preserve">Less repetitive administrative work — attendance, assessments, report generation, and communication are automated, freeing time for teaching and mentoring.</w:t>
            </w:r>
          </w:p>
        </w:tc>
      </w:tr>
      <w:tr>
        <w:tc>
          <w:tcPr>
            <w:tcW w:type="dxa" w:w="2400"/>
            <w:tcMar>
              <w:top w:type="dxa" w:w="90"/>
              <w:left w:type="dxa" w:w="120"/>
              <w:bottom w:type="dxa" w:w="90"/>
              <w:right w:type="dxa" w:w="120"/>
            </w:tcMar>
            <w:vAlign w:val="center"/>
          </w:tcPr>
          <w:p>
            <w:pPr>
              <w:spacing w:after="40"/>
            </w:pPr>
            <w:r>
              <w:rPr>
                <w:color w:val="222222"/>
                <w:sz w:val="20"/>
                <w:szCs w:val="20"/>
              </w:rPr>
              <w:t xml:space="preserve">Students</w:t>
            </w:r>
          </w:p>
        </w:tc>
        <w:tc>
          <w:tcPr>
            <w:tcW w:type="dxa" w:w="7180"/>
            <w:tcMar>
              <w:top w:type="dxa" w:w="90"/>
              <w:left w:type="dxa" w:w="120"/>
              <w:bottom w:type="dxa" w:w="90"/>
              <w:right w:type="dxa" w:w="120"/>
            </w:tcMar>
            <w:vAlign w:val="center"/>
          </w:tcPr>
          <w:p>
            <w:pPr>
              <w:spacing w:after="40"/>
            </w:pPr>
            <w:r>
              <w:rPr>
                <w:color w:val="222222"/>
                <w:sz w:val="20"/>
                <w:szCs w:val="20"/>
              </w:rPr>
              <w:t xml:space="preserve">A unified digital experience where academics, learning resources, campus activities, internships, placements, and documents live in one place.</w:t>
            </w:r>
          </w:p>
        </w:tc>
      </w:tr>
      <w:tr>
        <w:tc>
          <w:tcPr>
            <w:tcW w:type="dxa" w:w="2400"/>
            <w:shd w:fill="F2F2F2" w:val="clear"/>
            <w:tcMar>
              <w:top w:type="dxa" w:w="90"/>
              <w:left w:type="dxa" w:w="120"/>
              <w:bottom w:type="dxa" w:w="90"/>
              <w:right w:type="dxa" w:w="120"/>
            </w:tcMar>
            <w:vAlign w:val="center"/>
          </w:tcPr>
          <w:p>
            <w:pPr>
              <w:spacing w:after="40"/>
            </w:pPr>
            <w:r>
              <w:rPr>
                <w:color w:val="222222"/>
                <w:sz w:val="20"/>
                <w:szCs w:val="20"/>
              </w:rPr>
              <w:t xml:space="preserve">Parents</w:t>
            </w:r>
          </w:p>
        </w:tc>
        <w:tc>
          <w:tcPr>
            <w:tcW w:type="dxa" w:w="7180"/>
            <w:shd w:fill="F2F2F2" w:val="clear"/>
            <w:tcMar>
              <w:top w:type="dxa" w:w="90"/>
              <w:left w:type="dxa" w:w="120"/>
              <w:bottom w:type="dxa" w:w="90"/>
              <w:right w:type="dxa" w:w="120"/>
            </w:tcMar>
            <w:vAlign w:val="center"/>
          </w:tcPr>
          <w:p>
            <w:pPr>
              <w:spacing w:after="40"/>
            </w:pPr>
            <w:r>
              <w:rPr>
                <w:color w:val="222222"/>
                <w:sz w:val="20"/>
                <w:szCs w:val="20"/>
              </w:rPr>
              <w:t xml:space="preserve">Greater confidence through transparent, timely communication on attendance, performance, fees, and announcements.</w:t>
            </w:r>
          </w:p>
        </w:tc>
      </w:tr>
      <w:tr>
        <w:tc>
          <w:tcPr>
            <w:tcW w:type="dxa" w:w="2400"/>
            <w:tcMar>
              <w:top w:type="dxa" w:w="90"/>
              <w:left w:type="dxa" w:w="120"/>
              <w:bottom w:type="dxa" w:w="90"/>
              <w:right w:type="dxa" w:w="120"/>
            </w:tcMar>
            <w:vAlign w:val="center"/>
          </w:tcPr>
          <w:p>
            <w:pPr>
              <w:spacing w:after="40"/>
            </w:pPr>
            <w:r>
              <w:rPr>
                <w:color w:val="222222"/>
                <w:sz w:val="20"/>
                <w:szCs w:val="20"/>
              </w:rPr>
              <w:t xml:space="preserve">Placement Teams</w:t>
            </w:r>
          </w:p>
        </w:tc>
        <w:tc>
          <w:tcPr>
            <w:tcW w:type="dxa" w:w="7180"/>
            <w:tcMar>
              <w:top w:type="dxa" w:w="90"/>
              <w:left w:type="dxa" w:w="120"/>
              <w:bottom w:type="dxa" w:w="90"/>
              <w:right w:type="dxa" w:w="120"/>
            </w:tcMar>
            <w:vAlign w:val="center"/>
          </w:tcPr>
          <w:p>
            <w:pPr>
              <w:spacing w:after="40"/>
            </w:pPr>
            <w:r>
              <w:rPr>
                <w:color w:val="222222"/>
                <w:sz w:val="20"/>
                <w:szCs w:val="20"/>
              </w:rPr>
              <w:t xml:space="preserve">Efficient management of student eligibility, employer engagement, recruitment drives, internships, interview scheduling, and placement analytics.</w:t>
            </w:r>
          </w:p>
        </w:tc>
      </w:tr>
    </w:tbl>
    <w:p>
      <w:pPr>
        <w:pStyle w:val="Heading1"/>
        <w:pBdr>
          <w:bottom w:val="single" w:color="1F3864" w:sz="6" w:space="4"/>
        </w:pBdr>
        <w:spacing w:after="200" w:before="400"/>
      </w:pPr>
      <w:r>
        <w:rPr>
          <w:b/>
          <w:bCs/>
          <w:color w:val="1F3864"/>
          <w:sz w:val="30"/>
          <w:szCs w:val="30"/>
        </w:rPr>
        <w:t xml:space="preserve">8. Institutional Impact</w:t>
      </w:r>
    </w:p>
    <w:p>
      <w:pPr>
        <w:spacing w:after="160" w:line="276"/>
        <w:jc w:val="both"/>
      </w:pPr>
      <w:r>
        <w:rPr>
          <w:color w:val="222222"/>
          <w:sz w:val="21"/>
          <w:szCs w:val="21"/>
        </w:rPr>
        <w:t xml:space="preserve">Adopting Campus OS is expected to contribute to institutional growth in the following ways:</w:t>
      </w:r>
    </w:p>
    <w:p>
      <w:pPr>
        <w:pStyle w:val="ListParagraph"/>
        <w:numPr>
          <w:ilvl w:val="0"/>
          <w:numId w:val="2"/>
        </w:numPr>
        <w:spacing w:after="90"/>
      </w:pPr>
      <w:r>
        <w:rPr>
          <w:color w:val="222222"/>
          <w:sz w:val="21"/>
          <w:szCs w:val="21"/>
        </w:rPr>
        <w:t xml:space="preserve">Streamlined administrative operations across every department.</w:t>
      </w:r>
    </w:p>
    <w:p>
      <w:pPr>
        <w:pStyle w:val="ListParagraph"/>
        <w:numPr>
          <w:ilvl w:val="0"/>
          <w:numId w:val="2"/>
        </w:numPr>
        <w:spacing w:after="90"/>
      </w:pPr>
      <w:r>
        <w:rPr>
          <w:color w:val="222222"/>
          <w:sz w:val="21"/>
          <w:szCs w:val="21"/>
        </w:rPr>
        <w:t xml:space="preserve">Improved communication between departments, faculty, students, and parents.</w:t>
      </w:r>
    </w:p>
    <w:p>
      <w:pPr>
        <w:pStyle w:val="ListParagraph"/>
        <w:numPr>
          <w:ilvl w:val="0"/>
          <w:numId w:val="2"/>
        </w:numPr>
        <w:spacing w:after="90"/>
      </w:pPr>
      <w:r>
        <w:rPr>
          <w:color w:val="222222"/>
          <w:sz w:val="21"/>
          <w:szCs w:val="21"/>
        </w:rPr>
        <w:t xml:space="preserve">Reduced operational delays and duplicated effort.</w:t>
      </w:r>
    </w:p>
    <w:p>
      <w:pPr>
        <w:pStyle w:val="ListParagraph"/>
        <w:numPr>
          <w:ilvl w:val="0"/>
          <w:numId w:val="2"/>
        </w:numPr>
        <w:spacing w:after="90"/>
      </w:pPr>
      <w:r>
        <w:rPr>
          <w:color w:val="222222"/>
          <w:sz w:val="21"/>
          <w:szCs w:val="21"/>
        </w:rPr>
        <w:t xml:space="preserve">Stronger accreditation and compliance readiness through organized documentation.</w:t>
      </w:r>
    </w:p>
    <w:p>
      <w:pPr>
        <w:pStyle w:val="ListParagraph"/>
        <w:numPr>
          <w:ilvl w:val="0"/>
          <w:numId w:val="2"/>
        </w:numPr>
        <w:spacing w:after="90"/>
      </w:pPr>
      <w:r>
        <w:rPr>
          <w:color w:val="222222"/>
          <w:sz w:val="21"/>
          <w:szCs w:val="21"/>
        </w:rPr>
        <w:t xml:space="preserve">Higher student satisfaction and parent engagement.</w:t>
      </w:r>
    </w:p>
    <w:p>
      <w:pPr>
        <w:pStyle w:val="ListParagraph"/>
        <w:numPr>
          <w:ilvl w:val="0"/>
          <w:numId w:val="2"/>
        </w:numPr>
        <w:spacing w:after="90"/>
      </w:pPr>
      <w:r>
        <w:rPr>
          <w:color w:val="222222"/>
          <w:sz w:val="21"/>
          <w:szCs w:val="21"/>
        </w:rPr>
        <w:t xml:space="preserve">Improved placement outcomes and industry connectivity.</w:t>
      </w:r>
    </w:p>
    <w:p>
      <w:pPr>
        <w:pStyle w:val="ListParagraph"/>
        <w:numPr>
          <w:ilvl w:val="0"/>
          <w:numId w:val="2"/>
        </w:numPr>
        <w:spacing w:after="90"/>
      </w:pPr>
      <w:r>
        <w:rPr>
          <w:color w:val="222222"/>
          <w:sz w:val="21"/>
          <w:szCs w:val="21"/>
        </w:rPr>
        <w:t xml:space="preserve">Enhanced institutional reputation as a digitally forward campus.</w:t>
      </w:r>
    </w:p>
    <w:p>
      <w:pPr>
        <w:pStyle w:val="ListParagraph"/>
        <w:numPr>
          <w:ilvl w:val="0"/>
          <w:numId w:val="2"/>
        </w:numPr>
        <w:spacing w:after="90"/>
      </w:pPr>
      <w:r>
        <w:rPr>
          <w:color w:val="222222"/>
          <w:sz w:val="21"/>
          <w:szCs w:val="21"/>
        </w:rPr>
        <w:t xml:space="preserve">A sustainable foundation for long-term digital transformation.</w:t>
      </w:r>
    </w:p>
    <w:p>
      <w:pPr>
        <w:pStyle w:val="Heading1"/>
        <w:pBdr>
          <w:bottom w:val="single" w:color="1F3864" w:sz="6" w:space="4"/>
        </w:pBdr>
        <w:spacing w:after="200" w:before="400"/>
      </w:pPr>
      <w:r>
        <w:rPr>
          <w:b/>
          <w:bCs/>
          <w:color w:val="1F3864"/>
          <w:sz w:val="30"/>
          <w:szCs w:val="30"/>
        </w:rPr>
        <w:t xml:space="preserve">9. Ease of Adoption &amp; Implementation Approach</w:t>
      </w:r>
    </w:p>
    <w:p>
      <w:pPr>
        <w:spacing w:after="160" w:line="276"/>
        <w:jc w:val="both"/>
      </w:pPr>
      <w:r>
        <w:rPr>
          <w:color w:val="222222"/>
          <w:sz w:val="21"/>
          <w:szCs w:val="21"/>
        </w:rPr>
        <w:t xml:space="preserve">Campus OS has been designed to minimize disruption during rollout. It is accessible through both web browsers and mobile applications, so stakeholders can access information anytime, from any location. Role-based interfaces ensure each user only sees what is relevant to them, reducing complexity and training overhead.</w:t>
      </w:r>
    </w:p>
    <w:p>
      <w:pPr>
        <w:spacing w:after="160" w:line="276"/>
        <w:jc w:val="both"/>
      </w:pPr>
      <w:r>
        <w:rPr>
          <w:color w:val="222222"/>
          <w:sz w:val="21"/>
          <w:szCs w:val="21"/>
        </w:rPr>
        <w:t xml:space="preserve">Institutions are not required to adopt every workspace at once. A phased implementation approach is recommended, allowing management to validate value at each stage before expanding scope:</w:t>
      </w:r>
    </w:p>
    <w:tbl>
      <w:tblPr>
        <w:tblW w:type="dxa" w:w="85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480"/>
      </w:tblGrid>
      <w:tr>
        <w:trPr>
          <w:tblHeader/>
        </w:trPr>
        <w:tc>
          <w:tcPr>
            <w:tcW w:type="dxa" w:w="1500"/>
            <w:shd w:fill="1F3864" w:val="clear"/>
            <w:tcMar>
              <w:top w:type="dxa" w:w="100"/>
              <w:left w:type="dxa" w:w="120"/>
              <w:bottom w:type="dxa" w:w="100"/>
              <w:right w:type="dxa" w:w="120"/>
            </w:tcMar>
            <w:vAlign w:val="center"/>
          </w:tcPr>
          <w:p>
            <w:pPr>
              <w:spacing w:after="40"/>
            </w:pPr>
            <w:r>
              <w:rPr>
                <w:b/>
                <w:bCs/>
                <w:color w:val="FFFFFF"/>
                <w:sz w:val="20"/>
                <w:szCs w:val="20"/>
              </w:rPr>
              <w:t xml:space="preserve">Phase</w:t>
            </w:r>
          </w:p>
        </w:tc>
        <w:tc>
          <w:tcPr>
            <w:tcW w:type="dxa" w:w="3600"/>
            <w:shd w:fill="1F3864" w:val="clear"/>
            <w:tcMar>
              <w:top w:type="dxa" w:w="100"/>
              <w:left w:type="dxa" w:w="120"/>
              <w:bottom w:type="dxa" w:w="100"/>
              <w:right w:type="dxa" w:w="120"/>
            </w:tcMar>
            <w:vAlign w:val="center"/>
          </w:tcPr>
          <w:p>
            <w:pPr>
              <w:spacing w:after="40"/>
            </w:pPr>
            <w:r>
              <w:rPr>
                <w:b/>
                <w:bCs/>
                <w:color w:val="FFFFFF"/>
                <w:sz w:val="20"/>
                <w:szCs w:val="20"/>
              </w:rPr>
              <w:t xml:space="preserve">Recommended Focus</w:t>
            </w:r>
          </w:p>
        </w:tc>
        <w:tc>
          <w:tcPr>
            <w:tcW w:type="dxa" w:w="3480"/>
            <w:shd w:fill="1F3864" w:val="clear"/>
            <w:tcMar>
              <w:top w:type="dxa" w:w="100"/>
              <w:left w:type="dxa" w:w="120"/>
              <w:bottom w:type="dxa" w:w="100"/>
              <w:right w:type="dxa" w:w="120"/>
            </w:tcMar>
            <w:vAlign w:val="center"/>
          </w:tcPr>
          <w:p>
            <w:pPr>
              <w:spacing w:after="40"/>
            </w:pPr>
            <w:r>
              <w:rPr>
                <w:b/>
                <w:bCs/>
                <w:color w:val="FFFFFF"/>
                <w:sz w:val="20"/>
                <w:szCs w:val="20"/>
              </w:rPr>
              <w:t xml:space="preserve">Objective</w:t>
            </w:r>
          </w:p>
        </w:tc>
      </w:tr>
      <w:tr>
        <w:tc>
          <w:tcPr>
            <w:tcW w:type="dxa" w:w="1500"/>
            <w:tcMar>
              <w:top w:type="dxa" w:w="90"/>
              <w:left w:type="dxa" w:w="120"/>
              <w:bottom w:type="dxa" w:w="90"/>
              <w:right w:type="dxa" w:w="120"/>
            </w:tcMar>
            <w:vAlign w:val="center"/>
          </w:tcPr>
          <w:p>
            <w:pPr>
              <w:spacing w:after="40"/>
            </w:pPr>
            <w:r>
              <w:rPr>
                <w:color w:val="222222"/>
                <w:sz w:val="20"/>
                <w:szCs w:val="20"/>
              </w:rPr>
              <w:t xml:space="preserve">Phase 1 — Pilot</w:t>
            </w:r>
          </w:p>
        </w:tc>
        <w:tc>
          <w:tcPr>
            <w:tcW w:type="dxa" w:w="3600"/>
            <w:tcMar>
              <w:top w:type="dxa" w:w="90"/>
              <w:left w:type="dxa" w:w="120"/>
              <w:bottom w:type="dxa" w:w="90"/>
              <w:right w:type="dxa" w:w="120"/>
            </w:tcMar>
            <w:vAlign w:val="center"/>
          </w:tcPr>
          <w:p>
            <w:pPr>
              <w:spacing w:after="40"/>
            </w:pPr>
            <w:r>
              <w:rPr>
                <w:color w:val="222222"/>
                <w:sz w:val="20"/>
                <w:szCs w:val="20"/>
              </w:rPr>
              <w:t xml:space="preserve">Campus Core (admissions, attendance, records, examinations)</w:t>
            </w:r>
          </w:p>
        </w:tc>
        <w:tc>
          <w:tcPr>
            <w:tcW w:type="dxa" w:w="3480"/>
            <w:tcMar>
              <w:top w:type="dxa" w:w="90"/>
              <w:left w:type="dxa" w:w="120"/>
              <w:bottom w:type="dxa" w:w="90"/>
              <w:right w:type="dxa" w:w="120"/>
            </w:tcMar>
            <w:vAlign w:val="center"/>
          </w:tcPr>
          <w:p>
            <w:pPr>
              <w:spacing w:after="40"/>
            </w:pPr>
            <w:r>
              <w:rPr>
                <w:color w:val="222222"/>
                <w:sz w:val="20"/>
                <w:szCs w:val="20"/>
              </w:rPr>
              <w:t xml:space="preserve">Establish the academic and administrative backbone with minimal disruption to existing workflows.</w:t>
            </w:r>
          </w:p>
        </w:tc>
      </w:tr>
      <w:tr>
        <w:tc>
          <w:tcPr>
            <w:tcW w:type="dxa" w:w="1500"/>
            <w:shd w:fill="F2F2F2" w:val="clear"/>
            <w:tcMar>
              <w:top w:type="dxa" w:w="90"/>
              <w:left w:type="dxa" w:w="120"/>
              <w:bottom w:type="dxa" w:w="90"/>
              <w:right w:type="dxa" w:w="120"/>
            </w:tcMar>
            <w:vAlign w:val="center"/>
          </w:tcPr>
          <w:p>
            <w:pPr>
              <w:spacing w:after="40"/>
            </w:pPr>
            <w:r>
              <w:rPr>
                <w:color w:val="222222"/>
                <w:sz w:val="20"/>
                <w:szCs w:val="20"/>
              </w:rPr>
              <w:t xml:space="preserve">Phase 2 — Expand</w:t>
            </w:r>
          </w:p>
        </w:tc>
        <w:tc>
          <w:tcPr>
            <w:tcW w:type="dxa" w:w="3600"/>
            <w:shd w:fill="F2F2F2" w:val="clear"/>
            <w:tcMar>
              <w:top w:type="dxa" w:w="90"/>
              <w:left w:type="dxa" w:w="120"/>
              <w:bottom w:type="dxa" w:w="90"/>
              <w:right w:type="dxa" w:w="120"/>
            </w:tcMar>
            <w:vAlign w:val="center"/>
          </w:tcPr>
          <w:p>
            <w:pPr>
              <w:spacing w:after="40"/>
            </w:pPr>
            <w:r>
              <w:rPr>
                <w:color w:val="222222"/>
                <w:sz w:val="20"/>
                <w:szCs w:val="20"/>
              </w:rPr>
              <w:t xml:space="preserve">Campus Experience &amp; Faculty Studio</w:t>
            </w:r>
          </w:p>
        </w:tc>
        <w:tc>
          <w:tcPr>
            <w:tcW w:type="dxa" w:w="3480"/>
            <w:shd w:fill="F2F2F2" w:val="clear"/>
            <w:tcMar>
              <w:top w:type="dxa" w:w="90"/>
              <w:left w:type="dxa" w:w="120"/>
              <w:bottom w:type="dxa" w:w="90"/>
              <w:right w:type="dxa" w:w="120"/>
            </w:tcMar>
            <w:vAlign w:val="center"/>
          </w:tcPr>
          <w:p>
            <w:pPr>
              <w:spacing w:after="40"/>
            </w:pPr>
            <w:r>
              <w:rPr>
                <w:color w:val="222222"/>
                <w:sz w:val="20"/>
                <w:szCs w:val="20"/>
              </w:rPr>
              <w:t xml:space="preserve">Extend into communication, student life, and faculty productivity tools once the core is validated.</w:t>
            </w:r>
          </w:p>
        </w:tc>
      </w:tr>
      <w:tr>
        <w:tc>
          <w:tcPr>
            <w:tcW w:type="dxa" w:w="1500"/>
            <w:tcMar>
              <w:top w:type="dxa" w:w="90"/>
              <w:left w:type="dxa" w:w="120"/>
              <w:bottom w:type="dxa" w:w="90"/>
              <w:right w:type="dxa" w:w="120"/>
            </w:tcMar>
            <w:vAlign w:val="center"/>
          </w:tcPr>
          <w:p>
            <w:pPr>
              <w:spacing w:after="40"/>
            </w:pPr>
            <w:r>
              <w:rPr>
                <w:color w:val="222222"/>
                <w:sz w:val="20"/>
                <w:szCs w:val="20"/>
              </w:rPr>
              <w:t xml:space="preserve">Phase 3 — Deepen</w:t>
            </w:r>
          </w:p>
        </w:tc>
        <w:tc>
          <w:tcPr>
            <w:tcW w:type="dxa" w:w="3600"/>
            <w:tcMar>
              <w:top w:type="dxa" w:w="90"/>
              <w:left w:type="dxa" w:w="120"/>
              <w:bottom w:type="dxa" w:w="90"/>
              <w:right w:type="dxa" w:w="120"/>
            </w:tcMar>
            <w:vAlign w:val="center"/>
          </w:tcPr>
          <w:p>
            <w:pPr>
              <w:spacing w:after="40"/>
            </w:pPr>
            <w:r>
              <w:rPr>
                <w:color w:val="222222"/>
                <w:sz w:val="20"/>
                <w:szCs w:val="20"/>
              </w:rPr>
              <w:t xml:space="preserve">Career Hub &amp; Institution Operations</w:t>
            </w:r>
          </w:p>
        </w:tc>
        <w:tc>
          <w:tcPr>
            <w:tcW w:type="dxa" w:w="3480"/>
            <w:tcMar>
              <w:top w:type="dxa" w:w="90"/>
              <w:left w:type="dxa" w:w="120"/>
              <w:bottom w:type="dxa" w:w="90"/>
              <w:right w:type="dxa" w:w="120"/>
            </w:tcMar>
            <w:vAlign w:val="center"/>
          </w:tcPr>
          <w:p>
            <w:pPr>
              <w:spacing w:after="40"/>
            </w:pPr>
            <w:r>
              <w:rPr>
                <w:color w:val="222222"/>
                <w:sz w:val="20"/>
                <w:szCs w:val="20"/>
              </w:rPr>
              <w:t xml:space="preserve">Bring placements, alumni engagement, HR, and compliance into the unified system.</w:t>
            </w:r>
          </w:p>
        </w:tc>
      </w:tr>
      <w:tr>
        <w:tc>
          <w:tcPr>
            <w:tcW w:type="dxa" w:w="1500"/>
            <w:shd w:fill="F2F2F2" w:val="clear"/>
            <w:tcMar>
              <w:top w:type="dxa" w:w="90"/>
              <w:left w:type="dxa" w:w="120"/>
              <w:bottom w:type="dxa" w:w="90"/>
              <w:right w:type="dxa" w:w="120"/>
            </w:tcMar>
            <w:vAlign w:val="center"/>
          </w:tcPr>
          <w:p>
            <w:pPr>
              <w:spacing w:after="40"/>
            </w:pPr>
            <w:r>
              <w:rPr>
                <w:color w:val="222222"/>
                <w:sz w:val="20"/>
                <w:szCs w:val="20"/>
              </w:rPr>
              <w:t xml:space="preserve">Phase 4 — Optimize</w:t>
            </w:r>
          </w:p>
        </w:tc>
        <w:tc>
          <w:tcPr>
            <w:tcW w:type="dxa" w:w="3600"/>
            <w:shd w:fill="F2F2F2" w:val="clear"/>
            <w:tcMar>
              <w:top w:type="dxa" w:w="90"/>
              <w:left w:type="dxa" w:w="120"/>
              <w:bottom w:type="dxa" w:w="90"/>
              <w:right w:type="dxa" w:w="120"/>
            </w:tcMar>
            <w:vAlign w:val="center"/>
          </w:tcPr>
          <w:p>
            <w:pPr>
              <w:spacing w:after="40"/>
            </w:pPr>
            <w:r>
              <w:rPr>
                <w:color w:val="222222"/>
                <w:sz w:val="20"/>
                <w:szCs w:val="20"/>
              </w:rPr>
              <w:t xml:space="preserve">Intelligence Center</w:t>
            </w:r>
          </w:p>
        </w:tc>
        <w:tc>
          <w:tcPr>
            <w:tcW w:type="dxa" w:w="3480"/>
            <w:shd w:fill="F2F2F2" w:val="clear"/>
            <w:tcMar>
              <w:top w:type="dxa" w:w="90"/>
              <w:left w:type="dxa" w:w="120"/>
              <w:bottom w:type="dxa" w:w="90"/>
              <w:right w:type="dxa" w:w="120"/>
            </w:tcMar>
            <w:vAlign w:val="center"/>
          </w:tcPr>
          <w:p>
            <w:pPr>
              <w:spacing w:after="40"/>
            </w:pPr>
            <w:r>
              <w:rPr>
                <w:color w:val="222222"/>
                <w:sz w:val="20"/>
                <w:szCs w:val="20"/>
              </w:rPr>
              <w:t xml:space="preserve">Activate institution-wide analytics and AI-assisted decision support once sufficient data has accumulated across workspaces.</w:t>
            </w:r>
          </w:p>
        </w:tc>
      </w:tr>
    </w:tbl>
    <w:p>
      <w:pPr>
        <w:pStyle w:val="Heading1"/>
        <w:pBdr>
          <w:bottom w:val="single" w:color="1F3864" w:sz="6" w:space="4"/>
        </w:pBdr>
        <w:spacing w:after="200" w:before="400"/>
      </w:pPr>
      <w:r>
        <w:rPr>
          <w:b/>
          <w:bCs/>
          <w:color w:val="1F3864"/>
          <w:sz w:val="30"/>
          <w:szCs w:val="30"/>
        </w:rPr>
        <w:t xml:space="preserve">10. Scalability</w:t>
      </w:r>
    </w:p>
    <w:p>
      <w:pPr>
        <w:spacing w:after="160" w:line="276"/>
        <w:jc w:val="both"/>
      </w:pPr>
      <w:r>
        <w:rPr>
          <w:color w:val="222222"/>
          <w:sz w:val="21"/>
          <w:szCs w:val="21"/>
        </w:rPr>
        <w:t xml:space="preserve">Campus OS is built to support institutions of varying sizes — from a single college with a few hundred students to a multi-campus group with thousands of users. Additional modules and services can be enabled as institutional needs evolve, ensuring the platform remains relevant and useful over the long term without requiring a re-platforming exercise.</w:t>
      </w:r>
    </w:p>
    <w:p>
      <w:pPr>
        <w:pStyle w:val="Heading1"/>
        <w:pBdr>
          <w:bottom w:val="single" w:color="1F3864" w:sz="6" w:space="4"/>
        </w:pBdr>
        <w:spacing w:after="200" w:before="400"/>
      </w:pPr>
      <w:r>
        <w:rPr>
          <w:b/>
          <w:bCs/>
          <w:color w:val="1F3864"/>
          <w:sz w:val="30"/>
          <w:szCs w:val="30"/>
        </w:rPr>
        <w:t xml:space="preserve">11. Product Advantages</w:t>
      </w:r>
    </w:p>
    <w:p>
      <w:pPr>
        <w:pStyle w:val="ListParagraph"/>
        <w:numPr>
          <w:ilvl w:val="0"/>
          <w:numId w:val="2"/>
        </w:numPr>
        <w:spacing w:after="90"/>
      </w:pPr>
      <w:r>
        <w:rPr>
          <w:color w:val="222222"/>
          <w:sz w:val="21"/>
          <w:szCs w:val="21"/>
        </w:rPr>
        <w:t xml:space="preserve">A unified platform instead of multiple disconnected applications.</w:t>
      </w:r>
    </w:p>
    <w:p>
      <w:pPr>
        <w:pStyle w:val="ListParagraph"/>
        <w:numPr>
          <w:ilvl w:val="0"/>
          <w:numId w:val="2"/>
        </w:numPr>
        <w:spacing w:after="90"/>
      </w:pPr>
      <w:r>
        <w:rPr>
          <w:color w:val="222222"/>
          <w:sz w:val="21"/>
          <w:szCs w:val="21"/>
        </w:rPr>
        <w:t xml:space="preserve">Complete institutional lifecycle coverage — from admission to alumni engagement.</w:t>
      </w:r>
    </w:p>
    <w:p>
      <w:pPr>
        <w:pStyle w:val="ListParagraph"/>
        <w:numPr>
          <w:ilvl w:val="0"/>
          <w:numId w:val="2"/>
        </w:numPr>
        <w:spacing w:after="90"/>
      </w:pPr>
      <w:r>
        <w:rPr>
          <w:color w:val="222222"/>
          <w:sz w:val="21"/>
          <w:szCs w:val="21"/>
        </w:rPr>
        <w:t xml:space="preserve">Role-based experiences tailored to students, faculty, parents, administrators, and management.</w:t>
      </w:r>
    </w:p>
    <w:p>
      <w:pPr>
        <w:pStyle w:val="ListParagraph"/>
        <w:numPr>
          <w:ilvl w:val="0"/>
          <w:numId w:val="2"/>
        </w:numPr>
        <w:spacing w:after="90"/>
      </w:pPr>
      <w:r>
        <w:rPr>
          <w:color w:val="222222"/>
          <w:sz w:val="21"/>
          <w:szCs w:val="21"/>
        </w:rPr>
        <w:t xml:space="preserve">Data-driven decision-making supported by analytics and AI.</w:t>
      </w:r>
    </w:p>
    <w:p>
      <w:pPr>
        <w:pStyle w:val="ListParagraph"/>
        <w:numPr>
          <w:ilvl w:val="0"/>
          <w:numId w:val="2"/>
        </w:numPr>
        <w:spacing w:after="90"/>
      </w:pPr>
      <w:r>
        <w:rPr>
          <w:color w:val="222222"/>
          <w:sz w:val="21"/>
          <w:szCs w:val="21"/>
        </w:rPr>
        <w:t xml:space="preserve">Simplified compliance and accreditation documentation.</w:t>
      </w:r>
    </w:p>
    <w:p>
      <w:pPr>
        <w:pStyle w:val="ListParagraph"/>
        <w:numPr>
          <w:ilvl w:val="0"/>
          <w:numId w:val="2"/>
        </w:numPr>
        <w:spacing w:after="90"/>
      </w:pPr>
      <w:r>
        <w:rPr>
          <w:color w:val="222222"/>
          <w:sz w:val="21"/>
          <w:szCs w:val="21"/>
        </w:rPr>
        <w:t xml:space="preserve">Progressive, low-disruption digital transformation through phased adoption.</w:t>
      </w:r>
    </w:p>
    <w:p>
      <w:pPr>
        <w:pStyle w:val="Heading1"/>
        <w:pBdr>
          <w:bottom w:val="single" w:color="1F3864" w:sz="6" w:space="4"/>
        </w:pBdr>
        <w:spacing w:after="200" w:before="400"/>
      </w:pPr>
      <w:r>
        <w:rPr>
          <w:b/>
          <w:bCs/>
          <w:color w:val="1F3864"/>
          <w:sz w:val="30"/>
          <w:szCs w:val="30"/>
        </w:rPr>
        <w:t xml:space="preserve">12. Proposed Partnership Model for Management Approval</w:t>
      </w:r>
    </w:p>
    <w:p>
      <w:pPr>
        <w:spacing w:after="160" w:line="276"/>
        <w:jc w:val="both"/>
      </w:pPr>
      <w:r>
        <w:rPr>
          <w:color w:val="222222"/>
          <w:sz w:val="21"/>
          <w:szCs w:val="21"/>
        </w:rPr>
        <w:t xml:space="preserve">To move from evaluation to integration, we propose the following structure for management's consideration. This is intended as a discussion framework — final commercial terms, data-hosting arrangements, and service levels would be formalized in a signed agreement between the institution and the Campus OS team.</w:t>
      </w:r>
    </w:p>
    <w:p>
      <w:pPr>
        <w:pStyle w:val="Heading2"/>
        <w:spacing w:after="140" w:before="280"/>
      </w:pPr>
      <w:r>
        <w:rPr>
          <w:b/>
          <w:bCs/>
          <w:color w:val="2E5496"/>
          <w:sz w:val="24"/>
          <w:szCs w:val="24"/>
        </w:rPr>
        <w:t xml:space="preserve">12.1 Recommended Engagement Steps</w:t>
      </w:r>
    </w:p>
    <w:p>
      <w:pPr>
        <w:pStyle w:val="ListParagraph"/>
        <w:numPr>
          <w:ilvl w:val="0"/>
          <w:numId w:val="2"/>
        </w:numPr>
        <w:spacing w:after="90"/>
      </w:pPr>
      <w:r>
        <w:rPr>
          <w:color w:val="222222"/>
          <w:sz w:val="21"/>
          <w:szCs w:val="21"/>
        </w:rPr>
        <w:t xml:space="preserve">Requirements review: a joint session with academic, administrative, and IT stakeholders to map current processes to Campus OS workspaces.</w:t>
      </w:r>
    </w:p>
    <w:p>
      <w:pPr>
        <w:pStyle w:val="ListParagraph"/>
        <w:numPr>
          <w:ilvl w:val="0"/>
          <w:numId w:val="2"/>
        </w:numPr>
        <w:spacing w:after="90"/>
      </w:pPr>
      <w:r>
        <w:rPr>
          <w:color w:val="222222"/>
          <w:sz w:val="21"/>
          <w:szCs w:val="21"/>
        </w:rPr>
        <w:t xml:space="preserve">Pilot deployment: Campus Core rolled out for one department, batch, or campus to validate fit before wider rollout.</w:t>
      </w:r>
    </w:p>
    <w:p>
      <w:pPr>
        <w:pStyle w:val="ListParagraph"/>
        <w:numPr>
          <w:ilvl w:val="0"/>
          <w:numId w:val="2"/>
        </w:numPr>
        <w:spacing w:after="90"/>
      </w:pPr>
      <w:r>
        <w:rPr>
          <w:color w:val="222222"/>
          <w:sz w:val="21"/>
          <w:szCs w:val="21"/>
        </w:rPr>
        <w:t xml:space="preserve">Data migration &amp; integration plan: a defined approach for migrating existing records and integrating with any systems the institution intends to retain.</w:t>
      </w:r>
    </w:p>
    <w:p>
      <w:pPr>
        <w:pStyle w:val="ListParagraph"/>
        <w:numPr>
          <w:ilvl w:val="0"/>
          <w:numId w:val="2"/>
        </w:numPr>
        <w:spacing w:after="90"/>
      </w:pPr>
      <w:r>
        <w:rPr>
          <w:color w:val="222222"/>
          <w:sz w:val="21"/>
          <w:szCs w:val="21"/>
        </w:rPr>
        <w:t xml:space="preserve">Training &amp; change management: role-based onboarding for administrators, faculty, students, and parents.</w:t>
      </w:r>
    </w:p>
    <w:p>
      <w:pPr>
        <w:pStyle w:val="ListParagraph"/>
        <w:numPr>
          <w:ilvl w:val="0"/>
          <w:numId w:val="2"/>
        </w:numPr>
        <w:spacing w:after="90"/>
      </w:pPr>
      <w:r>
        <w:rPr>
          <w:color w:val="222222"/>
          <w:sz w:val="21"/>
          <w:szCs w:val="21"/>
        </w:rPr>
        <w:t xml:space="preserve">Formal review checkpoint: an evaluation of pilot outcomes against agreed success criteria before expanding to subsequent phases.</w:t>
      </w:r>
    </w:p>
    <w:p>
      <w:pPr>
        <w:pStyle w:val="Heading2"/>
        <w:spacing w:after="140" w:before="280"/>
      </w:pPr>
      <w:r>
        <w:rPr>
          <w:b/>
          <w:bCs/>
          <w:color w:val="2E5496"/>
          <w:sz w:val="24"/>
          <w:szCs w:val="24"/>
        </w:rPr>
        <w:t xml:space="preserve">12.2 What Management Should Expect to Define</w:t>
      </w:r>
    </w:p>
    <w:p>
      <w:pPr>
        <w:spacing w:after="160" w:line="276"/>
        <w:jc w:val="both"/>
      </w:pPr>
      <w:r>
        <w:rPr>
          <w:color w:val="222222"/>
          <w:sz w:val="21"/>
          <w:szCs w:val="21"/>
        </w:rPr>
        <w:t xml:space="preserve">The following commercial and operational items should be finalized directly with the Campus OS team as part of the approval process, since they depend on institution size, scope, and hosting preferences:</w:t>
      </w:r>
    </w:p>
    <w:p>
      <w:pPr>
        <w:pStyle w:val="ListParagraph"/>
        <w:numPr>
          <w:ilvl w:val="0"/>
          <w:numId w:val="2"/>
        </w:numPr>
        <w:spacing w:after="90"/>
      </w:pPr>
      <w:r>
        <w:rPr>
          <w:color w:val="222222"/>
          <w:sz w:val="21"/>
          <w:szCs w:val="21"/>
        </w:rPr>
        <w:t xml:space="preserve">Pricing structure and licensing model (per-student, per-department, or institution-wide).</w:t>
      </w:r>
    </w:p>
    <w:p>
      <w:pPr>
        <w:pStyle w:val="ListParagraph"/>
        <w:numPr>
          <w:ilvl w:val="0"/>
          <w:numId w:val="2"/>
        </w:numPr>
        <w:spacing w:after="90"/>
      </w:pPr>
      <w:r>
        <w:rPr>
          <w:color w:val="222222"/>
          <w:sz w:val="21"/>
          <w:szCs w:val="21"/>
        </w:rPr>
        <w:t xml:space="preserve">Data hosting, security, and compliance requirements (including any state or regulatory data-residency requirements).</w:t>
      </w:r>
    </w:p>
    <w:p>
      <w:pPr>
        <w:pStyle w:val="ListParagraph"/>
        <w:numPr>
          <w:ilvl w:val="0"/>
          <w:numId w:val="2"/>
        </w:numPr>
        <w:spacing w:after="90"/>
      </w:pPr>
      <w:r>
        <w:rPr>
          <w:color w:val="222222"/>
          <w:sz w:val="21"/>
          <w:szCs w:val="21"/>
        </w:rPr>
        <w:t xml:space="preserve">Service-level agreements for uptime, support response, and issue resolution.</w:t>
      </w:r>
    </w:p>
    <w:p>
      <w:pPr>
        <w:pStyle w:val="ListParagraph"/>
        <w:numPr>
          <w:ilvl w:val="0"/>
          <w:numId w:val="2"/>
        </w:numPr>
        <w:spacing w:after="90"/>
      </w:pPr>
      <w:r>
        <w:rPr>
          <w:color w:val="222222"/>
          <w:sz w:val="21"/>
          <w:szCs w:val="21"/>
        </w:rPr>
        <w:t xml:space="preserve">Ownership and portability of institutional data.</w:t>
      </w:r>
    </w:p>
    <w:p>
      <w:pPr>
        <w:pStyle w:val="ListParagraph"/>
        <w:numPr>
          <w:ilvl w:val="0"/>
          <w:numId w:val="2"/>
        </w:numPr>
        <w:spacing w:after="90"/>
      </w:pPr>
      <w:r>
        <w:rPr>
          <w:color w:val="222222"/>
          <w:sz w:val="21"/>
          <w:szCs w:val="21"/>
        </w:rPr>
        <w:t xml:space="preserve">Duration and renewal terms of the pilot and subsequent full agreement.</w:t>
      </w:r>
    </w:p>
    <w:p>
      <w:pPr>
        <w:pStyle w:val="Heading1"/>
        <w:pBdr>
          <w:bottom w:val="single" w:color="1F3864" w:sz="6" w:space="4"/>
        </w:pBdr>
        <w:spacing w:after="200" w:before="400"/>
      </w:pPr>
      <w:r>
        <w:rPr>
          <w:b/>
          <w:bCs/>
          <w:color w:val="1F3864"/>
          <w:sz w:val="30"/>
          <w:szCs w:val="30"/>
        </w:rPr>
        <w:t xml:space="preserve">13. Conclusion &amp; Recommendation</w:t>
      </w:r>
    </w:p>
    <w:p>
      <w:pPr>
        <w:spacing w:after="160" w:line="276"/>
        <w:jc w:val="both"/>
      </w:pPr>
      <w:r>
        <w:rPr>
          <w:color w:val="222222"/>
          <w:sz w:val="21"/>
          <w:szCs w:val="21"/>
        </w:rPr>
        <w:t xml:space="preserve">Campus OS is more than a college management application — it is a comprehensive digital operating system that brings together every essential function of an educational institution into one connected ecosystem. By simplifying operations, improving communication, enhancing stakeholder experiences, and supporting institutional growth, Campus OS enables engineering and degree colleges to build a more efficient, transparent, and future-ready campus.</w:t>
      </w:r>
    </w:p>
    <w:p>
      <w:pPr>
        <w:spacing w:after="160" w:line="276"/>
        <w:jc w:val="both"/>
      </w:pPr>
      <w:r>
        <w:rPr>
          <w:color w:val="222222"/>
          <w:sz w:val="21"/>
          <w:szCs w:val="21"/>
        </w:rPr>
        <w:t xml:space="preserve">It is designed not only to solve today's operational challenges but also to provide a scalable foundation for the evolving needs of higher education in the years ahead.</w:t>
      </w:r>
    </w:p>
    <w:p>
      <w:pPr>
        <w:spacing w:after="160" w:line="276"/>
        <w:jc w:val="both"/>
      </w:pPr>
      <w:r>
        <w:rPr>
          <w:b/>
          <w:bCs/>
          <w:i/>
          <w:iCs/>
          <w:color w:val="222222"/>
          <w:sz w:val="21"/>
          <w:szCs w:val="21"/>
        </w:rPr>
        <w:t xml:space="preserve">We recommend that management approve a Phase 1 pilot on Campus Core, with a formal review checkpoint before proceeding to institution-wide integration.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CAMPUS OS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2026-07-14T12:11:10.210Z</dcterms:created>
  <dcterms:modified xsi:type="dcterms:W3CDTF">2026-07-14T12:11:10.226Z</dcterms:modified>
</cp:coreProperties>
</file>

<file path=docProps/custom.xml><?xml version="1.0" encoding="utf-8"?>
<Properties xmlns="http://schemas.openxmlformats.org/officeDocument/2006/custom-properties" xmlns:vt="http://schemas.openxmlformats.org/officeDocument/2006/docPropsVTypes"/>
</file>