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内部 AI 助手平台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6DA4"/>
          <w:sz w:val="40"/>
          <w:szCs w:val="40"/>
        </w:rPr>
        <w:t xml:space="preserve">产品需求文档（PRD）</w:t>
      </w:r>
    </w:p>
    <w:p>
      <w:pPr>
        <w:pBdr>
          <w:bottom w:val="single" w:color="D6E4F0" w:sz="8" w:space="1"/>
        </w:pBdr>
        <w:spacing w:after="60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流式对话 · Artifact生成 · 混合部署</w:t>
      </w:r>
    </w:p>
    <w:p>
      <w:pPr>
        <w:spacing w:after="0" w:before="60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800"/>
      </w:tblGrid>
      <w:tr>
        <w:trPr>
          <w:tblHeader/>
        </w:trP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文档版本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创建日期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2025年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文档状态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草稿 · 待评审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适用范围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内部平台研发团队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部署模式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混合部署（内网 + 云端）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保密等级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机密 · 仅限内部传阅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6DA4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1  项目背景与目标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1.1  背景</w:t>
      </w:r>
    </w:p>
    <w:p>
      <w:pPr>
        <w:spacing w:after="16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随着大语言模型（LLM）技术的成熟，企业内部对AI生产力工具的需求快速增长。现有SaaS类AI产品（如Claude.ai、ChatGPT）在金融行业面临数据出境合规、审计追踪、权限管控等核心障碍，无法直接引入生产环境。</w:t>
      </w:r>
    </w:p>
    <w:p>
      <w:pPr>
        <w:spacing w:after="16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本项目旨在参考Claude.ai的产品设计经验，在混合部署架构下，自研一套内部AI助手平台，支持：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流式对话（Streaming Chat）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生成式界面（Artifact）——代码/组件、报表/图表、文档/表单、交互式工具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Artifact持久化与版本管理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内网敏感数据处理 + 合规审计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1.2  目标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000"/>
      </w:tblGrid>
      <w:tr>
        <w:trPr>
          <w:tblHeader/>
        </w:trP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目标描述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衡量指标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用户体验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流式响应，首Token ≤2s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P95首Token延迟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Artifact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支持4类生成场景，刷新不丢失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Artifact持久化成功率 ≥99.9%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合规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敏感数据不出内网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数据分类路由准确率 ≥99%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可用性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核心链路SLA 99.5%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月度可用性报告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扩展性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支持接入多个国内私有化模型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模型适配工时 ≤3天/个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2  用户与核心场景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2.1  目标用户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2700"/>
      </w:tblGrid>
      <w:tr>
        <w:trPr>
          <w:tblHeader/>
        </w:trP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核心诉求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典型使用场景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业务分析师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快速生成数据报表与图表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对话驱动BI，导出可视化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产品/运营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生成文档、表单、工作流说明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需求文档、用户调研表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开发工程师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生成代码片段与组件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API调用示例、SQL生成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管理层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获取摘要与决策支撑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风险简报、数据看板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2.2  核心用户故事</w:t>
      </w:r>
    </w:p>
    <w:p>
      <w:pPr>
        <w:spacing w:after="16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US-01  流式对话体验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作为用户，我希望输入问题后立即看到回复逐步出现，而不是等待完整结果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验收标准：首Token ≤2s；打字机效果帧率 ≥30fps；支持中途停止生成</w:t>
      </w:r>
    </w:p>
    <w:p>
      <w:pPr>
        <w:spacing w:after="16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US-02  Artifact生成与交互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作为分析师，我希望通过自然语言指令生成可交互的图表，并能在对话中迭代修改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验收标准：Artifact在对话区右侧面板展示；支持代码/图表/文档/工具4类；可全屏/导出</w:t>
      </w:r>
    </w:p>
    <w:p>
      <w:pPr>
        <w:spacing w:after="16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US-03  Artifact持久化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作为用户，刷新页面或切换设备后，历史对话中的Artifact内容完整保留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验收标准：刷新后Artifact重新渲染，内容与生成时一致；历史版本可追溯</w:t>
      </w:r>
    </w:p>
    <w:p>
      <w:pPr>
        <w:spacing w:after="16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US-04  数据合规路由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作为合规管理员，涉及敏感字段（客户号、卡号、交易金额）的请求应强制走内网模型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验收标准：敏感数据检测延迟 ≤50ms；路由决策日志可审计</w:t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3  系统架构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3.1  整体架构概览</w:t>
      </w:r>
    </w:p>
    <w:p>
      <w:pPr>
        <w:spacing w:after="16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系统采用「前端 → API网关 → 路由层 → 模型层」的四层架构，内网与云端通过受控隧道通信。</w:t>
      </w:r>
    </w:p>
    <w:p>
      <w:pPr>
        <w:pBdr>
          <w:top w:val="single" w:color="C5D8EC" w:sz="1"/>
          <w:bottom w:val="single" w:color="C5D8EC" w:sz="1"/>
          <w:left w:val="single" w:color="C5D8EC" w:sz="1"/>
          <w:right w:val="single" w:color="C5D8EC" w:sz="1"/>
        </w:pBdr>
        <w:spacing w:after="160" w:before="16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[ 浏览器客户端 ]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←SSE→  </w:t>
      </w: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[ API Gateway ]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→  </w:t>
      </w: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[ 路由层 ]</w:t>
      </w:r>
    </w:p>
    <w:p>
      <w:pPr>
        <w:spacing w:after="160" w:before="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                                           ↙ 内网数据                ↘ 通用数据</w:t>
      </w:r>
    </w:p>
    <w:p>
      <w:pPr>
        <w:spacing w:after="200" w:before="0"/>
        <w:ind w:left="360"/>
      </w:pPr>
      <w:r>
        <w:rPr>
          <w:rFonts w:ascii="Courier New" w:cs="Courier New" w:eastAsia="Courier New" w:hAnsi="Courier New"/>
          <w:color w:val="2E6DA4"/>
          <w:sz w:val="20"/>
          <w:szCs w:val="20"/>
        </w:rPr>
        <w:t xml:space="preserve">                          [ 内网私有化模型 ]        [ 云端模型（脱敏后）]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3.2  各层职责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100"/>
      </w:tblGrid>
      <w:tr>
        <w:trPr>
          <w:tblHeader/>
        </w:trP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前端层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 SPA (React)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SSE消费、Artifact渲染、状态管理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网关层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Gateway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鉴权、限流、会话管理、审计日志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路由层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智能路由服务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数据分类、敏感检测、模型调度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内网模型层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私有化LLM集群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处理含敏感字段的请求，数据不出内网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云端模型层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云API（脱敏）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处理通用/低敏感请求，降低内网算力压力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持久化层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 + 对象存储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会话/Artifact存储、Artifact二进制文件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3.3  混合部署路由策略</w:t>
      </w:r>
    </w:p>
    <w:p>
      <w:pPr>
        <w:spacing w:after="16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路由决策基于以下优先级顺序：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正则 + NER扫描输入文本，检测敏感字段（PAN、客户号、金额等）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命中敏感规则 → 强制路由至内网私有化模型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未命中 → 对输入做脱敏处理（假名化），路由至云端模型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所有路由决策写入审计日志（时间戳、用户ID、路由决定、脱敏前哈希）</w:t>
      </w:r>
    </w:p>
    <w:p>
      <w:pPr>
        <w:pBdr>
          <w:left w:val="single" w:color="2E6DA4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脱敏处理采用可逆假名化，云端模型的返回结果在网关层还原后再推送给客户端，云端全程不接触原始敏感数据。</w:t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4  流式对话设计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4.1  协议选型</w:t>
      </w:r>
    </w:p>
    <w:p>
      <w:pPr>
        <w:spacing w:after="16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采用 Server-Sent Events（SSE）协议，原因如下：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800"/>
        <w:gridCol w:w="1100"/>
      </w:tblGrid>
      <w:tr>
        <w:trPr>
          <w:tblHeader/>
        </w:trP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协议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优点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缺点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结论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SSE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HTTP原生、断线重连、防火墙友好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单向推送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推荐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WebSocket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双向、低延迟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需要额外握手，防火墙穿透复杂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❌ 不选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HTTP长轮询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兼容性最强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延迟高、服务器资源消耗大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❌ 不选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4.2  SSE事件流设计</w:t>
      </w:r>
    </w:p>
    <w:p>
      <w:pPr>
        <w:spacing w:after="16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参考Anthropic API的事件结构，定义以下内部事件类型：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3500"/>
      </w:tblGrid>
      <w:tr>
        <w:trPr>
          <w:tblHeader/>
        </w:trP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事件类型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触发时机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Payload示例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message_start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新消息生成开始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{"id":"msg_xxx","model":"qwen-72b"}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content_block_start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新内容块开始（text/thinking/artifact）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{"type":"text","index":0}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content_block_delta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内容块增量更新（每个token）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{"delta":{"text":"你好"}}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artifact_start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Artifact块开始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{"artifact_id":"art_xxx","artifact_type":"react"}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artifact_delta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Artifact代码增量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{"delta":"import React..."}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artifact_end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Artifact生成完成，触发渲染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{"artifact_id":"art_xxx"}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content_block_stop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内容块结束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{"index":0}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message_stop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消息生成完成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{"stop_reason":"end_turn"}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error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生成异常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{"type":"overload","message":"..."}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4.3  前端渲染策略</w:t>
      </w:r>
    </w:p>
    <w:p>
      <w:pPr>
        <w:spacing w:after="16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为避免频繁DOM更新导致卡顿，采用批次合并渲染：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每16ms（约1帧）合并一次token，批量更新DOM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使用 requestAnimationFrame 调度渲染，避免阻塞主线程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思考链（Thinking block）单独维护折叠状态，不影响主回复渲染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用户点击「停止生成」时，客户端关闭SSE连接，服务端收到断开信号后终止模型推理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4.4  断线重连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SSE原生支持Last-Event-ID重连机制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LLM流式场景生成结果不可重放，断线后从最后一条完整消息重新请求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网关层维护会话状态，保证重连后上下文完整</w:t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5  Artifact系统设计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5.1  Artifact类型与渲染方式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300"/>
        <w:gridCol w:w="1800"/>
      </w:tblGrid>
      <w:tr>
        <w:trPr>
          <w:tblHeader/>
        </w:trP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MIME Type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渲染方式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典型场景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React/JSX组件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application/react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沙箱iframe，动态加载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交互式Dashboard、表单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报表/图表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application/echarts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ECharts渲染引擎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折线图、柱状图、地图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HTML页面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text/html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沙箱iframe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富文本页面、邮件模板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文档/Markdown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text/markdown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Markdown渲染器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需求文档、说明书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表单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application/form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动态表单引擎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调查问卷、申请表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交互工具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application/tool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React沙箱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计算器、看板、流程图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5.2  Artifact数据结构</w:t>
      </w:r>
    </w:p>
    <w:p>
      <w:pPr>
        <w:spacing w:after="16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Artifact内容作为消息体的一个Content Block存储，不使用引用/链接，保证数据自包含：</w:t>
      </w:r>
    </w:p>
    <w:p>
      <w:pPr>
        <w:spacing w:after="120" w:before="12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{
  "role": "assistant",
  "content": [
    { "type": "text", "text": "这是一个交互式图表..." },
    {
      "type": "artifact",
      "id": "art_uuid_xxx",
      "artifact_type": "application/echarts",
      "title": "月度交易量趋势",
      "version": 1,
      "content": "&lt;完整ECharts配置JSON字符串&gt;",
      "created_at": "2025-01-01T10:00:00Z"
    }
  ]
}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5.3  Artifact持久化方案</w:t>
      </w:r>
    </w:p>
    <w:p>
      <w:pPr>
        <w:spacing w:after="16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持久化是Artifact系统的核心挑战，方案设计如下：</w:t>
      </w:r>
    </w:p>
    <w:p>
      <w:pPr>
        <w:pStyle w:val="Heading3"/>
        <w:spacing w:after="16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5.3.1  存储架构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Artifact内容随消息一起存入PostgreSQL（content字段，TEXT类型）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单个Artifact内容超过64KB时，内容存入对象存储（MinIO），数据库仅存引用URL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客户端重新加载对话时，服务端返回完整消息记录（含Artifact完整内容），客户端重新渲染</w:t>
      </w:r>
    </w:p>
    <w:p>
      <w:pPr>
        <w:pBdr>
          <w:left w:val="single" w:color="2E6DA4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这是Claude.ai的核心设计理念：Artifact内容就是对话的一部分，天然跟消息一起持久化，不依赖浏览器存储。</w:t>
      </w:r>
    </w:p>
    <w:p>
      <w:pPr>
        <w:pStyle w:val="Heading3"/>
        <w:spacing w:after="16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5.3.2  版本管理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用户在对话中迭代修改Artifact（如「把图表改成柱状图」）时，生成新版本而非覆盖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每个版本绑定生成它的消息ID，支持在对话中回溯历史版本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版本列表展示在Artifact面板顶部，用户可一键切换</w:t>
      </w:r>
    </w:p>
    <w:p>
      <w:pPr>
        <w:pStyle w:val="Heading3"/>
        <w:spacing w:after="16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5.3.3  客户端状态管理（Key-Value Storage API）</w:t>
      </w:r>
    </w:p>
    <w:p>
      <w:pPr>
        <w:spacing w:after="16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对于Artifact内部的交互状态（如看板的卡片位置、计算器的历史记录），提供轻量Storage API：</w:t>
      </w:r>
    </w:p>
    <w:p>
      <w:pPr>
        <w:spacing w:after="120" w:before="12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Artifact内部调用
await window.artifactStorage.set("board_state", JSON.stringify(state));
const result = await window.artifactStorage.get("board_state");
// 数据绑定到：用户ID + 对话ID + Artifact ID
// 刷新后自动恢复，支持跨设备同步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5.4  Artifact渲染安全</w:t>
      </w:r>
    </w:p>
    <w:p>
      <w:pPr>
        <w:spacing w:after="16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所有Artifact在沙箱iframe中运行，安全策略：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700"/>
      </w:tblGrid>
      <w:tr>
        <w:trPr>
          <w:tblHeader/>
        </w:trP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安全控制项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实现方式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代码沙箱隔离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iframe sandbox属性，禁止访问父页面DOM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CSP策略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Content-Security-Policy限制脚本来源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网络隔离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Artifact内部不允许发起外网请求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敏感数据过滤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渲染前扫描Artifact内容，过滤可能泄露的敏感字段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执行超时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单个Artifact执行超过5s强制终止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5.5  Artifact交互设计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布局：对话区（左）+ Artifact面板（右），可拖拽调整宽度比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状态：生成中显示骨架屏占位；代码流完成后触发渲染；渲染失败显示原始代码+错误提示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操作：复制代码、下载文件、全屏预览、分享链接（内网URL，需鉴权）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迭代：用户在对话框输入修改指令，Artifact面板实时更新（diff动画过渡）</w:t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6  合规与数据安全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6.1  数据分类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3700"/>
      </w:tblGrid>
      <w:tr>
        <w:trPr>
          <w:tblHeader/>
        </w:trP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数据级别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处理要求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L1 公开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产品介绍、通用知识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可路由至云端，无限制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L2 内部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业务流程、非敏感报表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可路由至云端，传输加密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L3 敏感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客户号、卡号、交易记录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强制内网模型，禁止出网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L4 机密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风控规则、反欺诈策略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强制内网模型，额外审批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6.2  审计日志</w:t>
      </w:r>
    </w:p>
    <w:p>
      <w:pPr>
        <w:spacing w:after="16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所有对话请求记录以下字段，存储至独立审计库，保留期≥3年：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用户ID、会话ID、请求时间戳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路由决策（内网/云端）及触发规则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输入内容哈希（SHA-256，不存原文）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Token用量、响应时延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Artifact生成记录（类型、版本）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6.3  权限控制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900"/>
        <w:gridCol w:w="1900"/>
        <w:gridCol w:w="1900"/>
      </w:tblGrid>
      <w:tr>
        <w:trPr>
          <w:tblHeader/>
        </w:trP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普通用户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高级用户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管理员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流式对话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生成Artifact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基础4类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全部类型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Artifact分享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❌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内网分享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查看审计日志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❌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❌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模型配置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❌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❌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7  非功能需求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7.1  性能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300"/>
      </w:tblGrid>
      <w:tr>
        <w:trPr>
          <w:tblHeader/>
        </w:trP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测量方法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首Token延迟（P95）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≤2秒（内网模型）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链路追踪，端到端计时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Artifact渲染时间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≤1.5秒（代码完成后）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performance.now()埋点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并发会话数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≥500并发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压测工具模拟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消息存储延迟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≤200ms（写入确认）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数据库写入监控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页面首屏加载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≤3秒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Lighthouse评分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7.2  可用性与容灾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核心链路（对话+Artifact生成）SLA 99.5%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内网模型不可用时，自动降级提示用户（不透明路由至云端，避免数据泄露）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数据库主从热备，RPO ≤1分钟，RTO ≤5分钟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Artifact内容多副本存储，单节点故障不影响历史Artifact访问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7.3  扩展性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模型接入层插件化设计，新模型适配工时 ≤3个工作日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Artifact类型注册制，新增类型无需修改核心渲染引擎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水平扩展：API网关和路由层无状态，支持K8s自动扩缩容</w:t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8  推荐技术栈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700"/>
      </w:tblGrid>
      <w:tr>
        <w:trPr>
          <w:tblHeader/>
        </w:trP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选型理由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前端框架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生态成熟，Concurrent Mode支持流式渲染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状态管理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Zustand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轻量，适合流式数据的细粒度更新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SSE客户端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EventSource API + 自研封装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原生支持，封装断线重连逻辑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Artifact沙箱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iframe + Babel standalone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安全隔离，支持JSX运行时编译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图表引擎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ECharts 5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国产，内网环境友好，功能完整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后端框架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 (Python)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异步友好，SSE支持好，AI生态集成方便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消息队列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Redis Streams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低延迟，支持消费者组，适合流式任务调度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主数据库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 15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JSON支持好，适合存储Artifact结构化内容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对象存储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MinIO（私有化）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S3兼容，完全内网部署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容器编排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Kubernetes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支持内网私有化部署，弹性扩缩容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链路追踪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OpenTelemetry + Jaeger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标准协议，便于排查流式链路问题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9  交付里程碑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200"/>
        <w:gridCol w:w="2300"/>
      </w:tblGrid>
      <w:tr>
        <w:trPr>
          <w:tblHeader/>
        </w:trP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M1  基础对话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第1-4周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SSE流式对话、基础鉴权、审计日志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首Token ≤2s，流式稳定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M2  Artifact MVP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第5-8周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代码/Markdown两类Artifact生成与持久化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刷新后内容完整保留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M3  Artifact全类型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第9-12周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报表/图表/表单/交互工具类Artifact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4类场景全部可用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M4  合规路由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第13-16周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敏感数据检测、混合路由、完整审计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路由准确率 ≥99%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M5  生产上线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第17-20周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性能调优、压测、安全审计、文档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全部非功能需求达标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10  开放问题与待决策项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2000"/>
        <w:gridCol w:w="1400"/>
      </w:tblGrid>
      <w:tr>
        <w:trPr>
          <w:tblHeader/>
        </w:trP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影响范围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内网私有化模型选型（通义千问/DeepSeek/其他）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M1-M4全部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待决策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云端模型供应商及数据处理协议签署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M4合规路由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待法务确认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Artifact分享功能是否需要水印/防截图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M3 Artifact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待安全评审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审计日志存储是否需要独立物理隔离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M4合规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待架构评审</w:t>
            </w:r>
          </w:p>
        </w:tc>
      </w:tr>
      <w:tr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是否引入思考链（Extended Thinking）能力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M2后续迭代</w:t>
            </w:r>
          </w:p>
        </w:tc>
        <w:tc>
          <w:tcPr>
            <w:tcW w:type="auto" w:w="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待产品决策</w:t>
            </w:r>
          </w:p>
        </w:tc>
      </w:tr>
    </w:tbl>
    <w:p>
      <w:pPr>
        <w:spacing w:after="0" w:before="600"/>
      </w:pPr>
    </w:p>
    <w:p>
      <w:pPr>
        <w:pBdr>
          <w:top w:val="single" w:color="D6E4F0" w:sz="4" w:space="8"/>
        </w:pBdr>
        <w:spacing w:after="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8EC" w:sz="4" w:space="6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555555"/>
        <w:sz w:val="18"/>
        <w:szCs w:val="18"/>
      </w:rPr>
      <w:t xml:space="preserve">© 2025  版权所有</w:t>
    </w:r>
    <w:r>
      <w:rPr>
        <w:rFonts w:ascii="Arial" w:cs="Arial" w:eastAsia="Arial" w:hAnsi="Arial"/>
        <w:color w:val="555555"/>
        <w:sz w:val="18"/>
        <w:szCs w:val="18"/>
      </w:rPr>
      <w:t xml:space="preserve">	第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6"/>
      </w:pBdr>
      <w:tabs>
        <w:tab w:val="right" w:pos="9026"/>
      </w:tabs>
      <w:spacing w:after="120" w:before="0"/>
    </w:pPr>
    <w:r>
      <w:rPr>
        <w:rFonts w:ascii="Arial" w:cs="Arial" w:eastAsia="Arial" w:hAnsi="Arial"/>
        <w:color w:val="555555"/>
        <w:sz w:val="18"/>
        <w:szCs w:val="18"/>
      </w:rPr>
      <w:t xml:space="preserve">内部AI助手平台 · 产品需求文档</w:t>
    </w:r>
    <w:r>
      <w:rPr>
        <w:rFonts w:ascii="Arial" w:cs="Arial" w:eastAsia="Arial" w:hAnsi="Arial"/>
        <w:color w:val="2E6DA4"/>
        <w:sz w:val="18"/>
        <w:szCs w:val="18"/>
      </w:rPr>
      <w:t xml:space="preserve">	机密 · 仅限内部传阅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  <w:lvl w:ilvl="1" w15:tentative="1">
      <w:start w:val="1"/>
      <w:numFmt w:val="decimal"/>
      <w:lvlText w:val="%1.%2."/>
      <w:lvlJc w:val="left"/>
      <w:pPr>
        <w:ind w:left="90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3A5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6DA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2026-04-10T16:12:22.266Z</dcterms:created>
  <dcterms:modified xsi:type="dcterms:W3CDTF">2026-04-10T16:12:22.268Z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