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FF1EE" w14:textId="2C4AD440" w:rsidR="005717CF" w:rsidRPr="005717CF" w:rsidRDefault="005717CF" w:rsidP="005717CF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43434"/>
        </w:rPr>
      </w:pPr>
      <w:r>
        <w:rPr>
          <w:rFonts w:ascii="Arial" w:hAnsi="Arial" w:cs="Arial"/>
          <w:b/>
          <w:bCs/>
          <w:color w:val="343434"/>
          <w:sz w:val="60"/>
          <w:szCs w:val="60"/>
          <w:shd w:val="clear" w:color="auto" w:fill="FFFFFF"/>
        </w:rPr>
        <w:t>Dimension | Progress Report — July 2019</w:t>
      </w:r>
    </w:p>
    <w:p w14:paraId="71210E3A" w14:textId="696743F4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C1C1C"/>
        </w:rPr>
      </w:pPr>
      <w:r>
        <w:rPr>
          <w:rFonts w:ascii="Arial" w:hAnsi="Arial" w:cs="Arial"/>
          <w:noProof/>
          <w:color w:val="1C1C1C"/>
        </w:rPr>
        <w:drawing>
          <wp:inline distT="0" distB="0" distL="0" distR="0" wp14:anchorId="61E0053D" wp14:editId="07552B35">
            <wp:extent cx="5274310" cy="3442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ADF3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  <w:shd w:val="clear" w:color="auto" w:fill="FFFF00"/>
        </w:rPr>
        <w:br/>
      </w:r>
    </w:p>
    <w:p w14:paraId="52BD05E3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Style w:val="a8"/>
          <w:rFonts w:ascii="Arial" w:hAnsi="Arial" w:cs="Arial"/>
          <w:color w:val="1C1C1C"/>
          <w:sz w:val="36"/>
          <w:szCs w:val="36"/>
        </w:rPr>
        <w:t>1. Technical Progress</w:t>
      </w:r>
    </w:p>
    <w:p w14:paraId="3897C1A9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b/>
          <w:bCs/>
          <w:color w:val="1C1C1C"/>
          <w:sz w:val="36"/>
          <w:szCs w:val="36"/>
        </w:rPr>
        <w:br/>
      </w:r>
    </w:p>
    <w:p w14:paraId="30ED5553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</w:rPr>
        <w:t>The development progress of the Dimension project is progressing in an orderly manner. The main points of technical progress in July are as follows:</w:t>
      </w:r>
    </w:p>
    <w:p w14:paraId="1BEF1E55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</w:rPr>
        <w:t> </w:t>
      </w:r>
    </w:p>
    <w:p w14:paraId="3F6B59CD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Style w:val="a8"/>
          <w:rFonts w:ascii="Arial" w:hAnsi="Arial" w:cs="Arial"/>
          <w:color w:val="4E4D4D"/>
          <w:sz w:val="27"/>
          <w:szCs w:val="27"/>
        </w:rPr>
        <w:t>Hybrid Consensus</w:t>
      </w:r>
      <w:bookmarkStart w:id="0" w:name="_GoBack"/>
      <w:bookmarkEnd w:id="0"/>
    </w:p>
    <w:p w14:paraId="1460ECC9" w14:textId="6AFDEE43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6568904B" w14:textId="77777777" w:rsidR="005717CF" w:rsidRDefault="005717CF" w:rsidP="005717C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underlying code development of the DPOS+PBFT hybrid consensus is completed.</w:t>
      </w:r>
    </w:p>
    <w:p w14:paraId="77746CB4" w14:textId="77777777" w:rsidR="005717CF" w:rsidRDefault="005717CF" w:rsidP="005717C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HPoS-P consensus algorithm can reach 8000TPS on the test net.</w:t>
      </w:r>
    </w:p>
    <w:p w14:paraId="487B1EF7" w14:textId="77777777" w:rsidR="005717CF" w:rsidRDefault="005717CF" w:rsidP="005717C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RBFT, based on the Hotstuff algorithm, has a definite development plan for Q3</w:t>
      </w:r>
    </w:p>
    <w:p w14:paraId="365FC106" w14:textId="77777777" w:rsidR="005717CF" w:rsidRDefault="005717CF" w:rsidP="005717C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construction of the converting consensus algorithm model of HPoS-P and HPoS-R is completed.</w:t>
      </w:r>
    </w:p>
    <w:p w14:paraId="127CCE1C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58FBD439" w14:textId="41D13D81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C1C1C"/>
        </w:rPr>
      </w:pPr>
      <w:r>
        <w:rPr>
          <w:rFonts w:ascii="Arial" w:hAnsi="Arial" w:cs="Arial"/>
          <w:noProof/>
          <w:color w:val="1C1C1C"/>
        </w:rPr>
        <w:lastRenderedPageBreak/>
        <w:drawing>
          <wp:inline distT="0" distB="0" distL="0" distR="0" wp14:anchorId="6A35D644" wp14:editId="4DBF5FF6">
            <wp:extent cx="5082540" cy="23622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768F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16161C5A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Style w:val="a8"/>
          <w:rFonts w:ascii="Arial" w:hAnsi="Arial" w:cs="Arial"/>
          <w:color w:val="4E4D4D"/>
          <w:sz w:val="27"/>
          <w:szCs w:val="27"/>
        </w:rPr>
        <w:t>Dynamic Node</w:t>
      </w:r>
    </w:p>
    <w:p w14:paraId="694A5859" w14:textId="04571E63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642C3C40" w14:textId="77777777" w:rsidR="005717CF" w:rsidRDefault="005717CF" w:rsidP="005717CF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node registration proposal mechanism involved with the contract interface ports are completed.</w:t>
      </w:r>
    </w:p>
    <w:p w14:paraId="10104F00" w14:textId="77777777" w:rsidR="005717CF" w:rsidRDefault="005717CF" w:rsidP="005717CF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joining, approving, and removing procedures of new-entry nodes are tested and approved.</w:t>
      </w:r>
    </w:p>
    <w:p w14:paraId="5CB36E1E" w14:textId="77777777" w:rsidR="005717CF" w:rsidRDefault="005717CF" w:rsidP="005717CF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scheduling mechanism of underlying code DN-Core:</w:t>
      </w:r>
    </w:p>
    <w:p w14:paraId="6A945ACC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</w:rPr>
        <w:t>A</w:t>
      </w:r>
      <w:r>
        <w:rPr>
          <w:rFonts w:ascii="Arial" w:hAnsi="Arial" w:cs="Arial"/>
          <w:color w:val="4E4D4D"/>
          <w:sz w:val="23"/>
          <w:szCs w:val="23"/>
        </w:rPr>
        <w:t>：</w:t>
      </w:r>
      <w:r>
        <w:rPr>
          <w:rFonts w:ascii="Arial" w:hAnsi="Arial" w:cs="Arial"/>
          <w:color w:val="4E4D4D"/>
          <w:sz w:val="23"/>
          <w:szCs w:val="23"/>
        </w:rPr>
        <w:t>The broadcast mechanism code has been completed and tested.</w:t>
      </w:r>
    </w:p>
    <w:p w14:paraId="586C4582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</w:rPr>
        <w:t>B</w:t>
      </w:r>
      <w:r>
        <w:rPr>
          <w:rFonts w:ascii="Arial" w:hAnsi="Arial" w:cs="Arial"/>
          <w:color w:val="4E4D4D"/>
          <w:sz w:val="23"/>
          <w:szCs w:val="23"/>
        </w:rPr>
        <w:t>：</w:t>
      </w:r>
      <w:r>
        <w:rPr>
          <w:rFonts w:ascii="Arial" w:hAnsi="Arial" w:cs="Arial"/>
          <w:color w:val="4E4D4D"/>
          <w:sz w:val="23"/>
          <w:szCs w:val="23"/>
        </w:rPr>
        <w:t>The buffering mechanism framework of the newly added node has been built.</w:t>
      </w:r>
    </w:p>
    <w:p w14:paraId="4CB380AA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1D5BDDF0" w14:textId="17B17CA4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C1C1C"/>
        </w:rPr>
      </w:pPr>
      <w:r>
        <w:rPr>
          <w:rFonts w:ascii="Arial" w:hAnsi="Arial" w:cs="Arial"/>
          <w:noProof/>
          <w:color w:val="1C1C1C"/>
        </w:rPr>
        <w:drawing>
          <wp:inline distT="0" distB="0" distL="0" distR="0" wp14:anchorId="2E69D821" wp14:editId="654B6012">
            <wp:extent cx="4869180" cy="24079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1468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7C41B9E9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Style w:val="a8"/>
          <w:rFonts w:ascii="Arial" w:hAnsi="Arial" w:cs="Arial"/>
          <w:color w:val="4E4D4D"/>
          <w:sz w:val="27"/>
          <w:szCs w:val="27"/>
        </w:rPr>
        <w:t>ConsensusX</w:t>
      </w:r>
    </w:p>
    <w:p w14:paraId="00862193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34C2B6AE" w14:textId="77777777" w:rsidR="005717CF" w:rsidRDefault="005717CF" w:rsidP="005717CF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coding of the consensus switching proposal process has been completed and is under test.</w:t>
      </w:r>
    </w:p>
    <w:p w14:paraId="2CE7067B" w14:textId="77777777" w:rsidR="005717CF" w:rsidRDefault="005717CF" w:rsidP="005717CF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Prefabricated mainstream consensus algorithm has been completed.</w:t>
      </w:r>
    </w:p>
    <w:p w14:paraId="35F076C9" w14:textId="77777777" w:rsidR="005717CF" w:rsidRDefault="005717CF" w:rsidP="005717CF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open consensus algorithm interface API (initial, load, etc.) is partially completed.</w:t>
      </w:r>
    </w:p>
    <w:p w14:paraId="6509D3E6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4512FCAA" w14:textId="05556069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C1C1C"/>
        </w:rPr>
      </w:pPr>
      <w:r>
        <w:rPr>
          <w:rFonts w:ascii="Arial" w:hAnsi="Arial" w:cs="Arial"/>
          <w:noProof/>
          <w:color w:val="1C1C1C"/>
        </w:rPr>
        <w:drawing>
          <wp:inline distT="0" distB="0" distL="0" distR="0" wp14:anchorId="2D953345" wp14:editId="57B1B043">
            <wp:extent cx="5143500" cy="2918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4C2D" w14:textId="77777777" w:rsidR="00810FE4" w:rsidRDefault="00810FE4" w:rsidP="005717CF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C1C1C"/>
        </w:rPr>
      </w:pPr>
    </w:p>
    <w:p w14:paraId="75711239" w14:textId="77777777" w:rsidR="00F71B02" w:rsidRDefault="00F71B02"/>
    <w:sectPr w:rsidR="00F71B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602B6" w14:textId="77777777" w:rsidR="009A2389" w:rsidRDefault="009A2389" w:rsidP="005717CF">
      <w:r>
        <w:separator/>
      </w:r>
    </w:p>
  </w:endnote>
  <w:endnote w:type="continuationSeparator" w:id="0">
    <w:p w14:paraId="1CA72CE2" w14:textId="77777777" w:rsidR="009A2389" w:rsidRDefault="009A2389" w:rsidP="00571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C4C18" w14:textId="77777777" w:rsidR="009A2389" w:rsidRDefault="009A2389" w:rsidP="005717CF">
      <w:r>
        <w:separator/>
      </w:r>
    </w:p>
  </w:footnote>
  <w:footnote w:type="continuationSeparator" w:id="0">
    <w:p w14:paraId="0443EF29" w14:textId="77777777" w:rsidR="009A2389" w:rsidRDefault="009A2389" w:rsidP="005717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45724"/>
    <w:multiLevelType w:val="multilevel"/>
    <w:tmpl w:val="A45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D31EE8"/>
    <w:multiLevelType w:val="multilevel"/>
    <w:tmpl w:val="C94E3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831273"/>
    <w:multiLevelType w:val="multilevel"/>
    <w:tmpl w:val="F588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F1"/>
    <w:rsid w:val="000E6B55"/>
    <w:rsid w:val="001934B3"/>
    <w:rsid w:val="005717CF"/>
    <w:rsid w:val="00810FE4"/>
    <w:rsid w:val="009A2389"/>
    <w:rsid w:val="00CB6716"/>
    <w:rsid w:val="00D43FF1"/>
    <w:rsid w:val="00F7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A6CE38"/>
  <w15:chartTrackingRefBased/>
  <w15:docId w15:val="{1B232593-893B-4FB6-B213-6263206E8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17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17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1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17CF"/>
    <w:rPr>
      <w:sz w:val="18"/>
      <w:szCs w:val="18"/>
    </w:rPr>
  </w:style>
  <w:style w:type="paragraph" w:customStyle="1" w:styleId="1">
    <w:name w:val="标题1"/>
    <w:basedOn w:val="a"/>
    <w:rsid w:val="00571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日期1"/>
    <w:basedOn w:val="a"/>
    <w:rsid w:val="00571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ype">
    <w:name w:val="type"/>
    <w:basedOn w:val="a"/>
    <w:rsid w:val="00571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571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5717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8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宏展 乔</dc:creator>
  <cp:keywords/>
  <dc:description/>
  <cp:lastModifiedBy>宏展 乔</cp:lastModifiedBy>
  <cp:revision>4</cp:revision>
  <dcterms:created xsi:type="dcterms:W3CDTF">2020-03-02T13:49:00Z</dcterms:created>
  <dcterms:modified xsi:type="dcterms:W3CDTF">2020-03-03T05:03:00Z</dcterms:modified>
</cp:coreProperties>
</file>