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lineRule="exact" w:line="480"/>
        <w:jc w:val="center"/>
      </w:pPr>
      <w:r>
        <w:rPr>
          <w:rFonts w:ascii="Times New Roman" w:hAnsi="Times New Roman" w:eastAsia="宋体" w:cs="Times New Roman"/>
          <w:b/>
          <w:color w:val="000000"/>
          <w:sz w:val="32"/>
        </w:rPr>
        <w:t>嵌入式社区养老服务站的建设与优化问题</w:t>
      </w:r>
    </w:p>
    <w:p>
      <w:pPr>
        <w:spacing w:before="0" w:after="80" w:lineRule="exact" w:line="400"/>
        <w:jc w:val="center"/>
      </w:pPr>
      <w:r>
        <w:rPr>
          <w:rFonts w:ascii="Times New Roman" w:hAnsi="Times New Roman" w:eastAsia="宋体" w:cs="Times New Roman"/>
          <w:b w:val="0"/>
          <w:color w:val="000000"/>
          <w:sz w:val="24"/>
        </w:rPr>
        <w:t>B题数学建模设计论文（仿参考电工杯论文结构）</w:t>
      </w:r>
    </w:p>
    <w:p/>
    <w:tbl>
      <w:tblPr>
        <w:tblStyle w:val="TableGrid"/>
        <w:tblW w:type="dxa" w:w="85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56"/>
        <w:gridCol w:w="5256"/>
      </w:tblGrid>
      <w:tr>
        <w:trPr>
          <w:tblHeader w:val="true"/>
        </w:trPr>
        <w:tc>
          <w:tcPr>
            <w:tcW w:type="dxa" w:w="4250"/>
            <w:vAlign w:val="center"/>
            <w:shd w:fill="D9EAF7"/>
            <w:tcMar>
              <w:top w:w="70" w:type="dxa"/>
              <w:start w:w="70" w:type="dxa"/>
              <w:bottom w:w="70" w:type="dxa"/>
              <w:end w:w="70" w:type="dxa"/>
            </w:tcMar>
          </w:tcPr>
          <w:p>
            <w:pPr>
              <w:spacing w:before="0" w:after="0" w:lineRule="exact" w:line="280"/>
              <w:jc w:val="center"/>
            </w:pPr>
            <w:r>
              <w:rPr>
                <w:rFonts w:ascii="Times New Roman" w:hAnsi="Times New Roman" w:cs="Times New Roman" w:eastAsia="宋体"/>
                <w:b/>
                <w:color w:val="000000"/>
                <w:sz w:val="20"/>
              </w:rPr>
            </w:r>
            <w:r>
              <w:rPr>
                <w:rFonts w:ascii="Times New Roman" w:hAnsi="Times New Roman" w:eastAsia="宋体" w:cs="Times New Roman"/>
                <w:b/>
                <w:color w:val="000000"/>
                <w:sz w:val="20"/>
              </w:rPr>
              <w:t>项目</w:t>
            </w:r>
          </w:p>
        </w:tc>
        <w:tc>
          <w:tcPr>
            <w:tcW w:type="dxa" w:w="4250"/>
            <w:vAlign w:val="center"/>
            <w:shd w:fill="D9EAF7"/>
            <w:tcMar>
              <w:top w:w="70" w:type="dxa"/>
              <w:start w:w="70" w:type="dxa"/>
              <w:bottom w:w="70" w:type="dxa"/>
              <w:end w:w="70" w:type="dxa"/>
            </w:tcMar>
          </w:tcPr>
          <w:p>
            <w:pPr>
              <w:spacing w:before="0" w:after="0" w:lineRule="exact" w:line="280"/>
              <w:jc w:val="center"/>
            </w:pPr>
            <w:r>
              <w:rPr>
                <w:rFonts w:ascii="Times New Roman" w:hAnsi="Times New Roman" w:cs="Times New Roman" w:eastAsia="宋体"/>
                <w:b/>
                <w:color w:val="000000"/>
                <w:sz w:val="20"/>
              </w:rPr>
            </w:r>
            <w:r>
              <w:rPr>
                <w:rFonts w:ascii="Times New Roman" w:hAnsi="Times New Roman" w:eastAsia="宋体" w:cs="Times New Roman"/>
                <w:b/>
                <w:color w:val="000000"/>
                <w:sz w:val="20"/>
              </w:rPr>
              <w:t>结论</w:t>
            </w:r>
          </w:p>
        </w:tc>
      </w:tr>
      <w:tr>
        <w:trPr/>
        <w:tc>
          <w:tcPr>
            <w:tcW w:type="dxa" w:w="4250"/>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模型框架</w:t>
            </w:r>
          </w:p>
        </w:tc>
        <w:tc>
          <w:tcPr>
            <w:tcW w:type="dxa" w:w="4250"/>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老人状态转移递推 + 消费约束需求模型 + 选址规模组合优化 + 补贴定价优化</w:t>
            </w:r>
          </w:p>
        </w:tc>
      </w:tr>
      <w:tr>
        <w:trPr/>
        <w:tc>
          <w:tcPr>
            <w:tcW w:type="dxa" w:w="4250"/>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基准方案</w:t>
            </w:r>
          </w:p>
        </w:tc>
        <w:tc>
          <w:tcPr>
            <w:tcW w:type="dxa" w:w="4250"/>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建设 C、G、H、J 四个服务站，覆盖 10 个小区；服务覆盖率为 100%。</w:t>
            </w:r>
          </w:p>
        </w:tc>
      </w:tr>
      <w:tr>
        <w:trPr/>
        <w:tc>
          <w:tcPr>
            <w:tcW w:type="dxa" w:w="4250"/>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核查结论</w:t>
            </w:r>
          </w:p>
        </w:tc>
        <w:tc>
          <w:tcPr>
            <w:tcW w:type="dxa" w:w="4250"/>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参考 GitHub 项目的结果可复现，但当前 q2 输出把容量作为软约束处理，四个小型站均过载；q4 未重新求解选址且存在负利润，需要改进。</w:t>
            </w:r>
          </w:p>
        </w:tc>
      </w:tr>
    </w:tbl>
    <w:p/>
    <w:p>
      <w:pPr>
        <w:spacing w:before="0" w:after="80" w:lineRule="exact" w:line="400"/>
        <w:jc w:val="center"/>
      </w:pPr>
      <w:r>
        <w:rPr>
          <w:rFonts w:ascii="Times New Roman" w:hAnsi="Times New Roman" w:eastAsia="宋体" w:cs="Times New Roman"/>
          <w:b w:val="0"/>
          <w:color w:val="000000"/>
          <w:sz w:val="24"/>
        </w:rPr>
        <w:t>生成日期：2026年5月23日</w:t>
      </w:r>
    </w:p>
    <w:p>
      <w:r>
        <w:rPr>
          <w:color w:val="000000"/>
        </w:rPr>
        <w:br w:type="page"/>
      </w:r>
    </w:p>
    <w:p>
      <w:pPr>
        <w:spacing w:before="0" w:after="0" w:lineRule="exact" w:line="400"/>
        <w:ind w:firstLine="480"/>
        <w:jc w:val="both"/>
      </w:pPr>
      <w:r>
        <w:rPr>
          <w:rFonts w:ascii="Times New Roman" w:hAnsi="Times New Roman" w:eastAsia="宋体" w:cs="Times New Roman"/>
          <w:b w:val="0"/>
          <w:color w:val="000000"/>
          <w:sz w:val="24"/>
        </w:rPr>
        <w:t>摘  要</w:t>
      </w:r>
    </w:p>
    <w:p>
      <w:pPr>
        <w:spacing w:before="0" w:after="0" w:lineRule="exact" w:line="400"/>
        <w:ind w:firstLine="480"/>
        <w:jc w:val="both"/>
      </w:pPr>
      <w:r>
        <w:rPr>
          <w:rFonts w:ascii="Times New Roman" w:hAnsi="Times New Roman" w:eastAsia="宋体" w:cs="Times New Roman"/>
          <w:b w:val="0"/>
          <w:color w:val="000000"/>
          <w:sz w:val="24"/>
        </w:rPr>
        <w:t>本文围绕成熟街道 10 个连片小区的嵌入式社区养老服务站建设问题，建立从人口状态递推、服务需求测算到站点选址、规模配置、定价补贴和灵敏度分析的完整模型。首先，将老人划分为自理、半失能、失能三类，考虑 5% 自然死亡率、7% 新增 60+ 老人比例以及自理向半失能、半失能向失能的转移，构建五年递推预测模型。第 5 年末预计区域 60+ 老人约 7578.42 人，其中自理 4981.92 人、半失能 1470.84 人、失能 1125.62 人；在消费能力约束后，六项服务月需求总量约 247099 次。其次，以覆盖率最大、满意度最大和年度利润可行为目标，建立混合整数选址-规模模型，求得 C、G、H、J 四站覆盖全部小区的方案；该方案覆盖率为 100%，加权满意度约 0.8721。再次，在政府按有效非紧急服务人次补贴的条件下，建立分站分服务定价模型，给出各站最优价格，年度政府补贴合计约 35.07 万元，综合利润率约 4.54%，满足不超过 8% 的约束。最后，对老人增长、失能转移、成本上升和预算调整进行灵敏度分析，并对 GitHub 项目实现进行核查，指出硬容量约束、候选点截断、q4 未重算选址和负利润等关键改进点。</w:t>
      </w:r>
    </w:p>
    <w:p>
      <w:pPr>
        <w:spacing w:before="0" w:after="0" w:lineRule="exact" w:line="400"/>
        <w:ind w:firstLine="480"/>
        <w:jc w:val="both"/>
      </w:pPr>
      <w:r>
        <w:rPr>
          <w:rFonts w:ascii="Times New Roman" w:hAnsi="Times New Roman" w:eastAsia="宋体" w:cs="Times New Roman"/>
          <w:b w:val="0"/>
          <w:color w:val="000000"/>
          <w:sz w:val="24"/>
        </w:rPr>
        <w:t>关键词：</w:t>
      </w:r>
      <w:r>
        <w:rPr>
          <w:rFonts w:ascii="Times New Roman" w:hAnsi="Times New Roman" w:eastAsia="宋体" w:cs="Times New Roman"/>
          <w:b w:val="0"/>
          <w:color w:val="000000"/>
          <w:sz w:val="24"/>
        </w:rPr>
        <w:t>养老服务站；状态转移模型；需求预测；设施选址；满意度；补贴定价；灵敏度分析</w:t>
      </w:r>
    </w:p>
    <w:p/>
    <w:p>
      <w:pPr>
        <w:spacing w:before="160" w:after="80" w:lineRule="exact" w:line="400"/>
        <w:jc w:val="center"/>
      </w:pPr>
      <w:r>
        <w:rPr>
          <w:rFonts w:ascii="Times New Roman" w:hAnsi="Times New Roman" w:eastAsia="宋体" w:cs="Times New Roman"/>
          <w:b/>
          <w:color w:val="000000"/>
          <w:sz w:val="24"/>
        </w:rPr>
        <w:t>目录</w:t>
      </w:r>
    </w:p>
    <w:p>
      <w:pPr>
        <w:keepNext/>
        <w:spacing w:before="160" w:after="80" w:lineRule="exact" w:line="400"/>
        <w:jc w:val="left"/>
      </w:pPr>
      <w:r>
        <w:rPr>
          <w:rFonts w:ascii="Times New Roman" w:hAnsi="Times New Roman" w:eastAsia="宋体" w:cs="Times New Roman"/>
          <w:b/>
          <w:color w:val="000000"/>
          <w:sz w:val="24"/>
        </w:rPr>
        <w:t>一、问题重述与建模思路</w:t>
      </w:r>
    </w:p>
    <w:p>
      <w:pPr>
        <w:keepNext/>
        <w:spacing w:before="160" w:after="80" w:lineRule="exact" w:line="400"/>
        <w:jc w:val="left"/>
      </w:pPr>
      <w:r>
        <w:rPr>
          <w:rFonts w:ascii="Times New Roman" w:hAnsi="Times New Roman" w:eastAsia="宋体" w:cs="Times New Roman"/>
          <w:b/>
          <w:color w:val="000000"/>
          <w:sz w:val="24"/>
        </w:rPr>
        <w:t>二、模型假设与符号说明</w:t>
      </w:r>
    </w:p>
    <w:p>
      <w:pPr>
        <w:keepNext/>
        <w:spacing w:before="160" w:after="80" w:lineRule="exact" w:line="400"/>
        <w:jc w:val="left"/>
      </w:pPr>
      <w:r>
        <w:rPr>
          <w:rFonts w:ascii="Times New Roman" w:hAnsi="Times New Roman" w:eastAsia="宋体" w:cs="Times New Roman"/>
          <w:b/>
          <w:color w:val="000000"/>
          <w:sz w:val="24"/>
        </w:rPr>
        <w:t>三、问题一：未来五年老人数量与服务需求量预测</w:t>
      </w:r>
    </w:p>
    <w:p>
      <w:pPr>
        <w:keepNext/>
        <w:spacing w:before="160" w:after="80" w:lineRule="exact" w:line="400"/>
        <w:jc w:val="left"/>
      </w:pPr>
      <w:r>
        <w:rPr>
          <w:rFonts w:ascii="Times New Roman" w:hAnsi="Times New Roman" w:eastAsia="宋体" w:cs="Times New Roman"/>
          <w:b/>
          <w:color w:val="000000"/>
          <w:sz w:val="24"/>
        </w:rPr>
        <w:t>四、问题二：服务站选址与规模优化</w:t>
      </w:r>
    </w:p>
    <w:p>
      <w:pPr>
        <w:keepNext/>
        <w:spacing w:before="160" w:after="80" w:lineRule="exact" w:line="400"/>
        <w:jc w:val="left"/>
      </w:pPr>
      <w:r>
        <w:rPr>
          <w:rFonts w:ascii="Times New Roman" w:hAnsi="Times New Roman" w:eastAsia="宋体" w:cs="Times New Roman"/>
          <w:b/>
          <w:color w:val="000000"/>
          <w:sz w:val="24"/>
        </w:rPr>
        <w:t>五、问题三：服务定价与政府补贴优化</w:t>
      </w:r>
    </w:p>
    <w:p>
      <w:pPr>
        <w:keepNext/>
        <w:spacing w:before="160" w:after="80" w:lineRule="exact" w:line="400"/>
        <w:jc w:val="left"/>
      </w:pPr>
      <w:r>
        <w:rPr>
          <w:rFonts w:ascii="Times New Roman" w:hAnsi="Times New Roman" w:eastAsia="宋体" w:cs="Times New Roman"/>
          <w:b/>
          <w:color w:val="000000"/>
          <w:sz w:val="24"/>
        </w:rPr>
        <w:t>六、问题四：灵敏度分析与方案比较</w:t>
      </w:r>
    </w:p>
    <w:p>
      <w:pPr>
        <w:keepNext/>
        <w:spacing w:before="160" w:after="80" w:lineRule="exact" w:line="400"/>
        <w:jc w:val="left"/>
      </w:pPr>
      <w:r>
        <w:rPr>
          <w:rFonts w:ascii="Times New Roman" w:hAnsi="Times New Roman" w:eastAsia="宋体" w:cs="Times New Roman"/>
          <w:b/>
          <w:color w:val="000000"/>
          <w:sz w:val="24"/>
        </w:rPr>
        <w:t>七、GitHub 项目设计核查与改进建议</w:t>
      </w:r>
    </w:p>
    <w:p>
      <w:pPr>
        <w:keepNext/>
        <w:spacing w:before="160" w:after="80" w:lineRule="exact" w:line="400"/>
        <w:jc w:val="center"/>
      </w:pPr>
      <w:r>
        <w:rPr>
          <w:rFonts w:ascii="Times New Roman" w:hAnsi="Times New Roman" w:eastAsia="宋体" w:cs="Times New Roman"/>
          <w:b/>
          <w:color w:val="000000"/>
          <w:sz w:val="24"/>
        </w:rPr>
        <w:t>八、结论与参考文献</w:t>
      </w:r>
    </w:p>
    <w:p>
      <w:r>
        <w:rPr>
          <w:color w:val="000000"/>
        </w:rPr>
        <w:br w:type="page"/>
      </w:r>
    </w:p>
    <w:p>
      <w:pPr>
        <w:pStyle w:val="Heading1"/>
        <w:keepNext/>
        <w:spacing w:before="160" w:after="80" w:lineRule="exact" w:line="400"/>
        <w:jc w:val="left"/>
      </w:pPr>
      <w:r>
        <w:rPr>
          <w:rFonts w:ascii="Times New Roman" w:hAnsi="Times New Roman" w:cs="Times New Roman" w:eastAsia="宋体"/>
          <w:b/>
          <w:color w:val="000000"/>
          <w:sz w:val="24"/>
        </w:rPr>
        <w:t>一、问题重述与建模思路</w:t>
      </w:r>
    </w:p>
    <w:p>
      <w:pPr>
        <w:spacing w:before="0" w:after="0" w:lineRule="exact" w:line="400"/>
        <w:ind w:firstLine="480"/>
        <w:jc w:val="both"/>
      </w:pPr>
      <w:r>
        <w:rPr>
          <w:rFonts w:ascii="Times New Roman" w:hAnsi="Times New Roman" w:eastAsia="宋体" w:cs="Times New Roman"/>
          <w:b w:val="0"/>
          <w:color w:val="000000"/>
          <w:sz w:val="24"/>
        </w:rPr>
        <w:t>某城市成熟街道下辖 10 个连片小区，政府拟建设嵌入式社区养老服务站，为老年人提供助餐、日间照料、上门护理、康复理疗、助浴、紧急救助等服务。题目要求先预测未来五年不同失能状态老人的数量与需求，再在建设预算、服务半径、服务能力、满意度和补贴约束下确定站点位置、规模、价格与政策方案。</w:t>
      </w:r>
    </w:p>
    <w:p>
      <w:pPr>
        <w:spacing w:before="0" w:after="0" w:lineRule="exact" w:line="400"/>
        <w:ind w:firstLine="480"/>
        <w:jc w:val="both"/>
      </w:pPr>
      <w:r>
        <w:rPr>
          <w:rFonts w:ascii="Times New Roman" w:hAnsi="Times New Roman" w:eastAsia="宋体" w:cs="Times New Roman"/>
          <w:b w:val="0"/>
          <w:color w:val="000000"/>
          <w:sz w:val="24"/>
        </w:rPr>
        <w:t>参考论文的行文特点是先从理想化模型出发，建立可解释的数学关系，再将模型代入具体案例求解，最后指出实际设计需要修正的地方。本文沿用这一结构：先建立递推和满意度函数，再给出 10 个小区的具体选址、定价和灵敏度结果，并专门核查 GitHub 项目的实现缺陷。</w:t>
      </w:r>
    </w:p>
    <w:p>
      <w:pPr>
        <w:pStyle w:val="Heading1"/>
        <w:keepNext/>
        <w:spacing w:before="160" w:after="80" w:lineRule="exact" w:line="400"/>
        <w:jc w:val="left"/>
      </w:pPr>
      <w:r>
        <w:rPr>
          <w:rFonts w:ascii="Times New Roman" w:hAnsi="Times New Roman" w:cs="Times New Roman" w:eastAsia="宋体"/>
          <w:b/>
          <w:color w:val="000000"/>
          <w:sz w:val="24"/>
        </w:rPr>
        <w:t>二、模型假设与符号说明</w:t>
      </w:r>
    </w:p>
    <w:p>
      <w:pPr>
        <w:spacing w:before="0" w:after="0" w:lineRule="exact" w:line="400"/>
        <w:ind w:firstLine="480"/>
        <w:jc w:val="both"/>
      </w:pPr>
      <w:r>
        <w:rPr>
          <w:rFonts w:ascii="Times New Roman" w:hAnsi="Times New Roman" w:eastAsia="宋体" w:cs="Times New Roman"/>
          <w:b w:val="0"/>
          <w:color w:val="000000"/>
          <w:sz w:val="24"/>
        </w:rPr>
        <w:t>为使模型可计算，本文作如下假设。</w:t>
      </w:r>
    </w:p>
    <w:p>
      <w:pPr>
        <w:pStyle w:val="ListBullet"/>
        <w:spacing w:before="0" w:after="0" w:lineRule="exact" w:line="400"/>
        <w:ind w:left="480"/>
        <w:jc w:val="left"/>
      </w:pPr>
      <w:r>
        <w:rPr>
          <w:rFonts w:ascii="Times New Roman" w:hAnsi="Times New Roman" w:eastAsia="宋体" w:cs="Times New Roman"/>
          <w:b w:val="0"/>
          <w:color w:val="000000"/>
          <w:sz w:val="24"/>
        </w:rPr>
        <w:t>五年内人口结构、老人失能转移概率、收入水平、服务单价成本和政府补贴政策在基准情形下保持稳定。</w:t>
      </w:r>
    </w:p>
    <w:p>
      <w:pPr>
        <w:pStyle w:val="ListBullet"/>
        <w:spacing w:before="0" w:after="0" w:lineRule="exact" w:line="400"/>
        <w:ind w:left="480"/>
        <w:jc w:val="left"/>
      </w:pPr>
      <w:r>
        <w:rPr>
          <w:rFonts w:ascii="Times New Roman" w:hAnsi="Times New Roman" w:eastAsia="宋体" w:cs="Times New Roman"/>
          <w:b w:val="0"/>
          <w:color w:val="000000"/>
          <w:sz w:val="24"/>
        </w:rPr>
        <w:t>新增 60+ 老人进入自理状态；失能老人不自然恢复；半失能老人只可能继续转移为失能；自理老人只可能转移为半失能。</w:t>
      </w:r>
    </w:p>
    <w:p>
      <w:pPr>
        <w:pStyle w:val="ListBullet"/>
        <w:spacing w:before="0" w:after="0" w:lineRule="exact" w:line="400"/>
        <w:ind w:left="480"/>
        <w:jc w:val="left"/>
      </w:pPr>
      <w:r>
        <w:rPr>
          <w:rFonts w:ascii="Times New Roman" w:hAnsi="Times New Roman" w:eastAsia="宋体" w:cs="Times New Roman"/>
          <w:b w:val="0"/>
          <w:color w:val="000000"/>
          <w:sz w:val="24"/>
        </w:rPr>
        <w:t>老人选择满意度最高且距离不超过 1000 米的服务站；若超过服务半径，则不产生有效服务需求。</w:t>
      </w:r>
    </w:p>
    <w:p>
      <w:pPr>
        <w:pStyle w:val="ListBullet"/>
        <w:spacing w:before="0" w:after="0" w:lineRule="exact" w:line="400"/>
        <w:ind w:left="480"/>
        <w:jc w:val="left"/>
      </w:pPr>
      <w:r>
        <w:rPr>
          <w:rFonts w:ascii="Times New Roman" w:hAnsi="Times New Roman" w:eastAsia="宋体" w:cs="Times New Roman"/>
          <w:b w:val="0"/>
          <w:color w:val="000000"/>
          <w:sz w:val="24"/>
        </w:rPr>
        <w:t>服务站的响应满意度由服务负荷率分段决定；实际有效服务人次等于理论需求或消费约束后需求乘以满意度。</w:t>
      </w:r>
    </w:p>
    <w:p>
      <w:pPr>
        <w:pStyle w:val="ListBullet"/>
        <w:spacing w:before="0" w:after="0" w:lineRule="exact" w:line="400"/>
        <w:ind w:left="480"/>
        <w:jc w:val="left"/>
      </w:pPr>
      <w:r>
        <w:rPr>
          <w:rFonts w:ascii="Times New Roman" w:hAnsi="Times New Roman" w:eastAsia="宋体" w:cs="Times New Roman"/>
          <w:b w:val="0"/>
          <w:color w:val="000000"/>
          <w:sz w:val="24"/>
        </w:rPr>
        <w:t>紧急救助公益免费，不计政府人次补贴，只核算直接支出；其他服务按有效人次获得补贴。</w:t>
      </w:r>
    </w:p>
    <w:p>
      <w:pPr>
        <w:pStyle w:val="Caption"/>
        <w:keepNext/>
        <w:spacing w:before="80" w:after="60" w:lineRule="exact" w:line="360"/>
        <w:jc w:val="center"/>
      </w:pPr>
      <w:r>
        <w:rPr>
          <w:rFonts w:ascii="Times New Roman" w:hAnsi="Times New Roman" w:cs="Times New Roman" w:eastAsia="宋体"/>
          <w:b w:val="0"/>
          <w:color w:val="000000"/>
          <w:sz w:val="21"/>
        </w:rPr>
        <w:t>表1 主要符号说明</w:t>
      </w:r>
    </w:p>
    <w:tbl>
      <w:tblPr>
        <w:tblStyle w:val="TableGrid"/>
        <w:tblW w:type="dxa" w:w="85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56"/>
        <w:gridCol w:w="5256"/>
      </w:tblGrid>
      <w:tr>
        <w:trPr>
          <w:tblHeader w:val="true"/>
        </w:trPr>
        <w:tc>
          <w:tcPr>
            <w:tcW w:type="dxa" w:w="4250"/>
            <w:vAlign w:val="center"/>
            <w:shd w:fill="D9EAF7"/>
            <w:tcMar>
              <w:top w:w="70" w:type="dxa"/>
              <w:start w:w="70" w:type="dxa"/>
              <w:bottom w:w="70" w:type="dxa"/>
              <w:end w:w="70" w:type="dxa"/>
            </w:tcMar>
          </w:tcPr>
          <w:p>
            <w:pPr>
              <w:spacing w:before="0" w:after="0" w:lineRule="exact" w:line="280"/>
              <w:jc w:val="center"/>
            </w:pPr>
            <w:r>
              <w:rPr>
                <w:rFonts w:ascii="Times New Roman" w:hAnsi="Times New Roman" w:cs="Times New Roman" w:eastAsia="宋体"/>
                <w:b/>
                <w:color w:val="000000"/>
                <w:sz w:val="20"/>
              </w:rPr>
            </w:r>
            <w:r>
              <w:rPr>
                <w:rFonts w:ascii="Times New Roman" w:hAnsi="Times New Roman" w:eastAsia="宋体" w:cs="Times New Roman"/>
                <w:b/>
                <w:color w:val="000000"/>
                <w:sz w:val="20"/>
              </w:rPr>
              <w:t>符号</w:t>
            </w:r>
          </w:p>
        </w:tc>
        <w:tc>
          <w:tcPr>
            <w:tcW w:type="dxa" w:w="4250"/>
            <w:vAlign w:val="center"/>
            <w:shd w:fill="D9EAF7"/>
            <w:tcMar>
              <w:top w:w="70" w:type="dxa"/>
              <w:start w:w="70" w:type="dxa"/>
              <w:bottom w:w="70" w:type="dxa"/>
              <w:end w:w="70" w:type="dxa"/>
            </w:tcMar>
          </w:tcPr>
          <w:p>
            <w:pPr>
              <w:spacing w:before="0" w:after="0" w:lineRule="exact" w:line="280"/>
              <w:jc w:val="center"/>
            </w:pPr>
            <w:r>
              <w:rPr>
                <w:rFonts w:ascii="Times New Roman" w:hAnsi="Times New Roman" w:cs="Times New Roman" w:eastAsia="宋体"/>
                <w:b/>
                <w:color w:val="000000"/>
                <w:sz w:val="20"/>
              </w:rPr>
            </w:r>
            <w:r>
              <w:rPr>
                <w:rFonts w:ascii="Times New Roman" w:hAnsi="Times New Roman" w:eastAsia="宋体" w:cs="Times New Roman"/>
                <w:b/>
                <w:color w:val="000000"/>
                <w:sz w:val="20"/>
              </w:rPr>
              <w:t>含义</w:t>
            </w:r>
          </w:p>
        </w:tc>
      </w:tr>
      <w:tr>
        <w:trPr/>
        <w:tc>
          <w:tcPr>
            <w:tcW w:type="dxa" w:w="4250"/>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i,j</w:t>
            </w:r>
          </w:p>
        </w:tc>
        <w:tc>
          <w:tcPr>
            <w:tcW w:type="dxa" w:w="4250"/>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小区或候选服务站编号，i,j∈{A,…,J}</w:t>
            </w:r>
          </w:p>
        </w:tc>
      </w:tr>
      <w:tr>
        <w:trPr/>
        <w:tc>
          <w:tcPr>
            <w:tcW w:type="dxa" w:w="4250"/>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t</w:t>
            </w:r>
          </w:p>
        </w:tc>
        <w:tc>
          <w:tcPr>
            <w:tcW w:type="dxa" w:w="4250"/>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年份，t=0,1,…,5</w:t>
            </w:r>
          </w:p>
        </w:tc>
      </w:tr>
      <w:tr>
        <w:trPr/>
        <w:tc>
          <w:tcPr>
            <w:tcW w:type="dxa" w:w="4250"/>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x_i(t), y_i(t), z_i(t)</w:t>
            </w:r>
          </w:p>
        </w:tc>
        <w:tc>
          <w:tcPr>
            <w:tcW w:type="dxa" w:w="4250"/>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第 t 年末小区 i 的自理、半失能、失能老人数量</w:t>
            </w:r>
          </w:p>
        </w:tc>
      </w:tr>
      <w:tr>
        <w:trPr/>
        <w:tc>
          <w:tcPr>
            <w:tcW w:type="dxa" w:w="4250"/>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N_i(t)</w:t>
            </w:r>
          </w:p>
        </w:tc>
        <w:tc>
          <w:tcPr>
            <w:tcW w:type="dxa" w:w="4250"/>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第 t 年末小区 i 的 60+ 老人总数</w:t>
            </w:r>
          </w:p>
        </w:tc>
      </w:tr>
      <w:tr>
        <w:trPr/>
        <w:tc>
          <w:tcPr>
            <w:tcW w:type="dxa" w:w="4250"/>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r_{k,l}</w:t>
            </w:r>
          </w:p>
        </w:tc>
        <w:tc>
          <w:tcPr>
            <w:tcW w:type="dxa" w:w="4250"/>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第 k 类老人对第 l 项服务的月均需求次数</w:t>
            </w:r>
          </w:p>
        </w:tc>
      </w:tr>
      <w:tr>
        <w:trPr/>
        <w:tc>
          <w:tcPr>
            <w:tcW w:type="dxa" w:w="4250"/>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Q^0_{i,k,l}, Q_{i,k,l}</w:t>
            </w:r>
          </w:p>
        </w:tc>
        <w:tc>
          <w:tcPr>
            <w:tcW w:type="dxa" w:w="4250"/>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理论需求和消费约束后的实际需求</w:t>
            </w:r>
          </w:p>
        </w:tc>
      </w:tr>
      <w:tr>
        <w:trPr/>
        <w:tc>
          <w:tcPr>
            <w:tcW w:type="dxa" w:w="4250"/>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d_{ij}</w:t>
            </w:r>
          </w:p>
        </w:tc>
        <w:tc>
          <w:tcPr>
            <w:tcW w:type="dxa" w:w="4250"/>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小区 i 到站点 j 的距离</w:t>
            </w:r>
          </w:p>
        </w:tc>
      </w:tr>
      <w:tr>
        <w:trPr/>
        <w:tc>
          <w:tcPr>
            <w:tcW w:type="dxa" w:w="4250"/>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u_j</w:t>
            </w:r>
          </w:p>
        </w:tc>
        <w:tc>
          <w:tcPr>
            <w:tcW w:type="dxa" w:w="4250"/>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服务站 j 的日负荷率</w:t>
            </w:r>
          </w:p>
        </w:tc>
      </w:tr>
      <w:tr>
        <w:trPr/>
        <w:tc>
          <w:tcPr>
            <w:tcW w:type="dxa" w:w="4250"/>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S^d,S^r,S^p,S</w:t>
            </w:r>
          </w:p>
        </w:tc>
        <w:tc>
          <w:tcPr>
            <w:tcW w:type="dxa" w:w="4250"/>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距离满意度、响应满意度、价格满意度和综合满意度</w:t>
            </w:r>
          </w:p>
        </w:tc>
      </w:tr>
      <w:tr>
        <w:trPr/>
        <w:tc>
          <w:tcPr>
            <w:tcW w:type="dxa" w:w="4250"/>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y_{j,s}</w:t>
            </w:r>
          </w:p>
        </w:tc>
        <w:tc>
          <w:tcPr>
            <w:tcW w:type="dxa" w:w="4250"/>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若在 j 建设规模 s 的站点则为 1，否则为 0</w:t>
            </w:r>
          </w:p>
        </w:tc>
      </w:tr>
      <w:tr>
        <w:trPr/>
        <w:tc>
          <w:tcPr>
            <w:tcW w:type="dxa" w:w="4250"/>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a_{ij}</w:t>
            </w:r>
          </w:p>
        </w:tc>
        <w:tc>
          <w:tcPr>
            <w:tcW w:type="dxa" w:w="4250"/>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若小区 i 由站点 j 覆盖则为 1，否则为 0</w:t>
            </w:r>
          </w:p>
        </w:tc>
      </w:tr>
    </w:tbl>
    <w:p>
      <w:pPr>
        <w:pStyle w:val="Heading1"/>
        <w:keepNext/>
        <w:spacing w:before="160" w:after="80" w:lineRule="exact" w:line="400"/>
        <w:jc w:val="left"/>
      </w:pPr>
      <w:r>
        <w:rPr>
          <w:rFonts w:ascii="Times New Roman" w:hAnsi="Times New Roman" w:cs="Times New Roman" w:eastAsia="宋体"/>
          <w:b/>
          <w:color w:val="000000"/>
          <w:sz w:val="24"/>
        </w:rPr>
        <w:t>三、问题一：未来五年老人数量与服务需求量预测</w:t>
      </w:r>
    </w:p>
    <w:p>
      <w:pPr>
        <w:pStyle w:val="Heading2"/>
        <w:keepNext/>
        <w:spacing w:before="100" w:after="40" w:lineRule="exact" w:line="400"/>
        <w:jc w:val="left"/>
      </w:pPr>
      <w:r>
        <w:rPr>
          <w:rFonts w:ascii="Times New Roman" w:hAnsi="Times New Roman" w:cs="Times New Roman" w:eastAsia="宋体"/>
          <w:b/>
          <w:color w:val="000000"/>
          <w:sz w:val="24"/>
        </w:rPr>
        <w:t>3.1 老人数量递推预测模型</w:t>
      </w:r>
    </w:p>
    <w:p>
      <w:pPr>
        <w:spacing w:before="40" w:after="40" w:lineRule="exact" w:line="400"/>
        <w:jc w:val="center"/>
      </w:pPr>
      <w:r>
        <w:rPr>
          <w:rFonts w:ascii="Times New Roman" w:hAnsi="Times New Roman" w:eastAsia="宋体" w:cs="Times New Roman"/>
          <w:b w:val="0"/>
          <w:i w:val="0"/>
          <w:color w:val="000000"/>
          <w:sz w:val="24"/>
        </w:rPr>
        <w:t>设自然死亡率 m=0.05，新增 60+ 老人比例 g=0.07，自理转半失能概率 a=0.045，半失能转失能概率 b=0.10。对任一小区 i，有如下递推：</w:t>
      </w:r>
    </w:p>
    <w:p>
      <w:pPr>
        <w:pStyle w:val="EquationText"/>
        <w:spacing w:before="40" w:after="40" w:lineRule="exact" w:line="400"/>
        <w:jc w:val="center"/>
      </w:pPr>
      <w:r>
        <w:rPr>
          <w:rFonts w:ascii="Times New Roman" w:hAnsi="Times New Roman" w:cs="Times New Roman" w:eastAsia="宋体"/>
          <w:b w:val="0"/>
          <w:i w:val="0"/>
          <w:color w:val="000000"/>
          <w:sz w:val="24"/>
        </w:rPr>
        <w:t>x_i(t+1)=0.95(1-a)x_i(t)+0.07N_i(t)</w:t>
      </w:r>
    </w:p>
    <w:p>
      <w:pPr>
        <w:pStyle w:val="EquationText"/>
        <w:spacing w:before="40" w:after="40" w:lineRule="exact" w:line="400"/>
        <w:jc w:val="center"/>
      </w:pPr>
      <w:r>
        <w:rPr>
          <w:rFonts w:ascii="Times New Roman" w:hAnsi="Times New Roman" w:cs="Times New Roman" w:eastAsia="宋体"/>
          <w:b w:val="0"/>
          <w:i w:val="0"/>
          <w:color w:val="000000"/>
          <w:sz w:val="24"/>
        </w:rPr>
        <w:t>y_i(t+1)=0.95[a x_i(t)+(1-b)y_i(t)]</w:t>
      </w:r>
    </w:p>
    <w:p>
      <w:pPr>
        <w:pStyle w:val="EquationText"/>
        <w:spacing w:before="40" w:after="40" w:lineRule="exact" w:line="400"/>
        <w:jc w:val="center"/>
      </w:pPr>
      <w:r>
        <w:rPr>
          <w:rFonts w:ascii="Times New Roman" w:hAnsi="Times New Roman" w:cs="Times New Roman" w:eastAsia="宋体"/>
          <w:b w:val="0"/>
          <w:i w:val="0"/>
          <w:color w:val="000000"/>
          <w:sz w:val="24"/>
        </w:rPr>
        <w:t>z_i(t+1)=0.95[b y_i(t)+z_i(t)]</w:t>
      </w:r>
    </w:p>
    <w:p>
      <w:pPr>
        <w:pStyle w:val="EquationText"/>
        <w:spacing w:before="40" w:after="40" w:lineRule="exact" w:line="400"/>
        <w:jc w:val="center"/>
      </w:pPr>
      <w:r>
        <w:rPr>
          <w:rFonts w:ascii="Times New Roman" w:hAnsi="Times New Roman" w:cs="Times New Roman" w:eastAsia="宋体"/>
          <w:b w:val="0"/>
          <w:i w:val="0"/>
          <w:color w:val="000000"/>
          <w:sz w:val="24"/>
        </w:rPr>
        <w:t>N_i(t+1)=x_i(t+1)+y_i(t+1)+z_i(t+1)</w:t>
      </w:r>
    </w:p>
    <w:p>
      <w:pPr>
        <w:spacing w:before="0" w:after="0" w:lineRule="exact" w:line="400"/>
        <w:ind w:firstLine="480"/>
        <w:jc w:val="both"/>
      </w:pPr>
      <w:r>
        <w:rPr>
          <w:rFonts w:ascii="Times New Roman" w:hAnsi="Times New Roman" w:eastAsia="宋体" w:cs="Times New Roman"/>
          <w:b w:val="0"/>
          <w:color w:val="000000"/>
          <w:sz w:val="24"/>
        </w:rPr>
        <w:t>上式含义是：先考虑当年状态转移和自然死亡，再将新增 60+ 老人全部计入自理老人。该模型属于三状态非齐次人口递推模型，适合五年尺度的相对平稳预测。</w:t>
      </w:r>
    </w:p>
    <w:p>
      <w:pPr>
        <w:pStyle w:val="Caption"/>
        <w:keepNext/>
        <w:spacing w:before="80" w:after="60" w:lineRule="exact" w:line="360"/>
        <w:jc w:val="center"/>
      </w:pPr>
      <w:r>
        <w:rPr>
          <w:rFonts w:ascii="Times New Roman" w:hAnsi="Times New Roman" w:cs="Times New Roman" w:eastAsia="宋体"/>
          <w:b w:val="0"/>
          <w:color w:val="000000"/>
          <w:sz w:val="21"/>
        </w:rPr>
        <w:t>表2 区域五年老人数量汇总（单位：人）</w:t>
      </w:r>
    </w:p>
    <w:tbl>
      <w:tblPr>
        <w:tblStyle w:val="TableGrid"/>
        <w:tblW w:type="dxa" w:w="85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2"/>
        <w:gridCol w:w="2102"/>
        <w:gridCol w:w="2102"/>
        <w:gridCol w:w="2102"/>
        <w:gridCol w:w="2102"/>
      </w:tblGrid>
      <w:tr>
        <w:trPr>
          <w:tblHeader w:val="true"/>
        </w:trPr>
        <w:tc>
          <w:tcPr>
            <w:tcW w:type="dxa" w:w="1700"/>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年份</w:t>
            </w:r>
          </w:p>
        </w:tc>
        <w:tc>
          <w:tcPr>
            <w:tcW w:type="dxa" w:w="1700"/>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自理</w:t>
            </w:r>
          </w:p>
        </w:tc>
        <w:tc>
          <w:tcPr>
            <w:tcW w:type="dxa" w:w="1700"/>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半失能</w:t>
            </w:r>
          </w:p>
        </w:tc>
        <w:tc>
          <w:tcPr>
            <w:tcW w:type="dxa" w:w="1700"/>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失能</w:t>
            </w:r>
          </w:p>
        </w:tc>
        <w:tc>
          <w:tcPr>
            <w:tcW w:type="dxa" w:w="1700"/>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60+</w:t>
            </w:r>
          </w:p>
        </w:tc>
      </w:tr>
      <w:tr>
        <w:trPr/>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1.00</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4755.45</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1507.87</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737.96</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7001.28</w:t>
            </w:r>
          </w:p>
        </w:tc>
      </w:tr>
      <w:tr>
        <w:trPr/>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2.00</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4804.46</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1492.52</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844.31</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7141.30</w:t>
            </w:r>
          </w:p>
        </w:tc>
      </w:tr>
      <w:tr>
        <w:trPr/>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3.00</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4858.74</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1481.50</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943.88</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7284.13</w:t>
            </w:r>
          </w:p>
        </w:tc>
      </w:tr>
      <w:tr>
        <w:trPr/>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4.00</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4917.99</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1474.40</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1037.43</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7429.82</w:t>
            </w:r>
          </w:p>
        </w:tc>
      </w:tr>
      <w:tr>
        <w:trPr/>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5.00</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4981.92</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1470.84</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1125.62</w:t>
            </w:r>
          </w:p>
        </w:tc>
        <w:tc>
          <w:tcPr>
            <w:tcW w:type="dxa" w:w="1700"/>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7578.42</w:t>
            </w:r>
          </w:p>
        </w:tc>
      </w:tr>
    </w:tbl>
    <w:p>
      <w:pPr>
        <w:keepNext/>
        <w:spacing w:before="80" w:after="60" w:lineRule="exact" w:line="360"/>
        <w:jc w:val="center"/>
      </w:pPr>
      <w:r>
        <w:rPr>
          <w:rFonts w:ascii="Times New Roman" w:hAnsi="Times New Roman" w:eastAsia="宋体" w:cs="Times New Roman"/>
          <w:b w:val="0"/>
          <w:color w:val="000000"/>
          <w:sz w:val="21"/>
        </w:rPr>
        <w:t>图1 未来五年60+老人结构变化</w:t>
      </w:r>
    </w:p>
    <w:p>
      <w:pPr>
        <w:jc w:val="center"/>
      </w:pPr>
      <w:r>
        <w:rPr>
          <w:color w:val="000000"/>
        </w:rPr>
        <w:drawing>
          <wp:inline xmlns:a="http://schemas.openxmlformats.org/drawingml/2006/main" xmlns:pic="http://schemas.openxmlformats.org/drawingml/2006/picture">
            <wp:extent cx="5112000" cy="3067200"/>
            <wp:docPr id="1" name="Picture 1"/>
            <wp:cNvGraphicFramePr>
              <a:graphicFrameLocks noChangeAspect="1"/>
            </wp:cNvGraphicFramePr>
            <a:graphic>
              <a:graphicData uri="http://schemas.openxmlformats.org/drawingml/2006/picture">
                <pic:pic>
                  <pic:nvPicPr>
                    <pic:cNvPr id="0" name="fig_population_trend.png"/>
                    <pic:cNvPicPr/>
                  </pic:nvPicPr>
                  <pic:blipFill>
                    <a:blip r:embed="rId10"/>
                    <a:stretch>
                      <a:fillRect/>
                    </a:stretch>
                  </pic:blipFill>
                  <pic:spPr>
                    <a:xfrm>
                      <a:off x="0" y="0"/>
                      <a:ext cx="5112000" cy="3067200"/>
                    </a:xfrm>
                    <a:prstGeom prst="rect"/>
                  </pic:spPr>
                </pic:pic>
              </a:graphicData>
            </a:graphic>
          </wp:inline>
        </w:drawing>
      </w:r>
    </w:p>
    <w:p>
      <w:pPr>
        <w:pStyle w:val="Caption"/>
        <w:keepNext/>
        <w:spacing w:before="80" w:after="60" w:lineRule="exact" w:line="360"/>
        <w:jc w:val="center"/>
      </w:pPr>
      <w:r>
        <w:rPr>
          <w:rFonts w:ascii="Times New Roman" w:hAnsi="Times New Roman" w:cs="Times New Roman" w:eastAsia="宋体"/>
          <w:b w:val="0"/>
          <w:color w:val="000000"/>
          <w:sz w:val="21"/>
        </w:rPr>
        <w:t>表3 第1年至第5年各小区各类老人预测（单位：人）</w:t>
      </w:r>
    </w:p>
    <w:tbl>
      <w:tblPr>
        <w:tblW w:type="dxa" w:w="850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2"/>
        <w:gridCol w:w="1502"/>
        <w:gridCol w:w="1502"/>
        <w:gridCol w:w="1502"/>
        <w:gridCol w:w="1502"/>
        <w:gridCol w:w="1502"/>
      </w:tblGrid>
      <w:tr>
        <w:trPr>
          <w:tblHeader/>
        </w:trPr>
        <w:tc>
          <w:tcPr>
            <w:tcW w:type="dxa" w:w="1416"/>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年份</w:t>
            </w:r>
          </w:p>
        </w:tc>
        <w:tc>
          <w:tcPr>
            <w:tcW w:type="dxa" w:w="1416"/>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小区</w:t>
            </w:r>
          </w:p>
        </w:tc>
        <w:tc>
          <w:tcPr>
            <w:tcW w:type="dxa" w:w="1416"/>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自理</w:t>
            </w:r>
          </w:p>
        </w:tc>
        <w:tc>
          <w:tcPr>
            <w:tcW w:type="dxa" w:w="1416"/>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半失能</w:t>
            </w:r>
          </w:p>
        </w:tc>
        <w:tc>
          <w:tcPr>
            <w:tcW w:type="dxa" w:w="1416"/>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失能</w:t>
            </w:r>
          </w:p>
        </w:tc>
        <w:tc>
          <w:tcPr>
            <w:tcW w:type="dxa" w:w="1416"/>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60+</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A</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499.84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151.16</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75.24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726.24</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B</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412.72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133.72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73.72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620.16</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C</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637.78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204.86</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95.76</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938.40</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D</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371.95</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118.33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64.60</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554.88</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E</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541.17</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173.39</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85.12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799.68</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F</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330.62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102.94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47.88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481.44</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G</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597.57</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189.47</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94.24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881.28</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H</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395.40</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126.20</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57.76</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579.36</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I</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508.77</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165.19</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76.76</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750.72</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J</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459.63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142.61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66.88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669.12</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A</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504.31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150.61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85.84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740.76</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B</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417.85</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131.98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82.74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632.56</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C</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644.32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202.42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110.43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957.17</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D</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376.29</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117.07</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72.61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565.98</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E</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546.95</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171.39</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97.34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815.67</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F</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333.65</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102.15</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55.27</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491.07</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G</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603.84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187.54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107.53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898.91</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H</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399.28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124.80</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66.86</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590.95</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I</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514.14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162.98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88.61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765.73</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J</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463.83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141.58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77.08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682.50</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A</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509.39</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150.33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95.85</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755.58</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B</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423.37</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130.70</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91.14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645.21</w:t>
            </w:r>
          </w:p>
        </w:tc>
      </w:tr>
    </w:tbl>
    <w:p>
      <w:pPr>
        <w:spacing w:before="40" w:after="40" w:lineRule="exact" w:line="280"/>
        <w:jc w:val="center"/>
      </w:pPr>
      <w:r>
        <w:rPr>
          <w:rFonts w:ascii="Times New Roman" w:hAnsi="Times New Roman" w:cs="Times New Roman" w:eastAsia="宋体"/>
          <w:b w:val="0"/>
          <w:color w:val="000000"/>
          <w:sz w:val="18"/>
        </w:rPr>
        <w:t>续表</w:t>
      </w:r>
    </w:p>
    <w:tbl>
      <w:tblPr>
        <w:tblW w:type="dxa" w:w="850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2"/>
        <w:gridCol w:w="1502"/>
        <w:gridCol w:w="1502"/>
        <w:gridCol w:w="1502"/>
        <w:gridCol w:w="1502"/>
        <w:gridCol w:w="1502"/>
      </w:tblGrid>
      <w:tr>
        <w:trPr>
          <w:tblHeader/>
        </w:trPr>
        <w:tc>
          <w:tcPr>
            <w:tcW w:type="dxa" w:w="1416"/>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年份</w:t>
            </w:r>
          </w:p>
        </w:tc>
        <w:tc>
          <w:tcPr>
            <w:tcW w:type="dxa" w:w="1416"/>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小区</w:t>
            </w:r>
          </w:p>
        </w:tc>
        <w:tc>
          <w:tcPr>
            <w:tcW w:type="dxa" w:w="1416"/>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自理</w:t>
            </w:r>
          </w:p>
        </w:tc>
        <w:tc>
          <w:tcPr>
            <w:tcW w:type="dxa" w:w="1416"/>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半失能</w:t>
            </w:r>
          </w:p>
        </w:tc>
        <w:tc>
          <w:tcPr>
            <w:tcW w:type="dxa" w:w="1416"/>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失能</w:t>
            </w:r>
          </w:p>
        </w:tc>
        <w:tc>
          <w:tcPr>
            <w:tcW w:type="dxa" w:w="1416"/>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60+</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C</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651.56</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200.61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124.14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976.31</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D</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381.01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116.19</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80.10</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577.30</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E</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553.32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169.92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108.75</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831.99</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F</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337.08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101.60</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62.21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500.89</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G</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610.75</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186.16</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119.97</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916.88</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H</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403.62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123.78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75.37</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602.77</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I</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520.05</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161.33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99.67</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781.05</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J</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468.59</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140.88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86.68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696.15</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A</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515.04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150.31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105.34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770.69</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B</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429.27</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129.85</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99.00</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658.12</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C</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659.47</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199.38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136.99</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995.84</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D</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386.08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115.63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87.14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588.84</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E</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560.24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168.93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119.46</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848.63</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F</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340.88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101.28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68.75</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510.91</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G</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618.29</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185.28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131.65</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935.22</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H</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408.37</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123.08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83.36</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614.82</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I</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526.49</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160.17</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110.01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796.67</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J</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473.86</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140.49</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95.73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710.08</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A</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521.21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150.53</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114.36</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786.11</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B</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435.52</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129.37</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106.38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671.28</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C</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668.01</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198.66</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149.08</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1015.75</w:t>
            </w:r>
          </w:p>
        </w:tc>
      </w:tr>
      <w:tr>
        <w:trPr/>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D</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391.49</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115.37</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93.76</w:t>
            </w:r>
          </w:p>
        </w:tc>
        <w:tc>
          <w:tcPr>
            <w:tcW w:type="dxa" w:w="1416"/>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600.62</w:t>
            </w:r>
          </w:p>
        </w:tc>
      </w:tr>
    </w:tbl>
    <w:p>
      <w:pPr>
        <w:spacing w:before="40" w:after="40" w:lineRule="exact" w:line="280"/>
        <w:jc w:val="center"/>
      </w:pPr>
      <w:r>
        <w:rPr>
          <w:rFonts w:ascii="Times New Roman" w:hAnsi="Times New Roman" w:cs="Times New Roman" w:eastAsia="宋体"/>
          <w:b w:val="0"/>
          <w:color w:val="000000"/>
          <w:sz w:val="18"/>
        </w:rPr>
        <w:t>续表</w:t>
      </w:r>
    </w:p>
    <w:tbl>
      <w:tblPr>
        <w:tblW w:type="dxa" w:w="850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2"/>
        <w:gridCol w:w="1502"/>
        <w:gridCol w:w="1502"/>
        <w:gridCol w:w="1502"/>
        <w:gridCol w:w="1502"/>
        <w:gridCol w:w="1502"/>
      </w:tblGrid>
      <w:tr>
        <w:trPr>
          <w:tblHeader/>
        </w:trPr>
        <w:tc>
          <w:tcPr>
            <w:tcW w:type="dxa" w:w="1416"/>
            <w:tcMar>
              <w:top w:w="45" w:type="dxa"/>
              <w:start w:w="45" w:type="dxa"/>
              <w:bottom w:w="45" w:type="dxa"/>
              <w:end w:w="45" w:type="dxa"/>
            </w:tcMar>
            <w:vAlign w:val="center"/>
            <w:shd w:fill="D9EAF7"/>
          </w:tcPr>
          <w:p>
            <w:pPr>
              <w:spacing w:before="0" w:after="0" w:lineRule="exact" w:line="240"/>
              <w:jc w:val="center"/>
            </w:pPr>
            <w:r>
              <w:rPr>
                <w:rFonts w:ascii="Times New Roman" w:hAnsi="Times New Roman" w:cs="Times New Roman" w:eastAsia="宋体"/>
                <w:b/>
                <w:color w:val="000000"/>
                <w:sz w:val="17"/>
              </w:rPr>
              <w:t>年份</w:t>
            </w:r>
          </w:p>
        </w:tc>
        <w:tc>
          <w:tcPr>
            <w:tcW w:type="dxa" w:w="1416"/>
            <w:tcMar>
              <w:top w:w="45" w:type="dxa"/>
              <w:start w:w="45" w:type="dxa"/>
              <w:bottom w:w="45" w:type="dxa"/>
              <w:end w:w="45" w:type="dxa"/>
            </w:tcMar>
            <w:vAlign w:val="center"/>
            <w:shd w:fill="D9EAF7"/>
          </w:tcPr>
          <w:p>
            <w:pPr>
              <w:spacing w:before="0" w:after="0" w:lineRule="exact" w:line="240"/>
              <w:jc w:val="center"/>
            </w:pPr>
            <w:r>
              <w:rPr>
                <w:rFonts w:ascii="Times New Roman" w:hAnsi="Times New Roman" w:cs="Times New Roman" w:eastAsia="宋体"/>
                <w:b/>
                <w:color w:val="000000"/>
                <w:sz w:val="17"/>
              </w:rPr>
              <w:t>小区</w:t>
            </w:r>
          </w:p>
        </w:tc>
        <w:tc>
          <w:tcPr>
            <w:tcW w:type="dxa" w:w="1416"/>
            <w:tcMar>
              <w:top w:w="45" w:type="dxa"/>
              <w:start w:w="45" w:type="dxa"/>
              <w:bottom w:w="45" w:type="dxa"/>
              <w:end w:w="45" w:type="dxa"/>
            </w:tcMar>
            <w:vAlign w:val="center"/>
            <w:shd w:fill="D9EAF7"/>
          </w:tcPr>
          <w:p>
            <w:pPr>
              <w:spacing w:before="0" w:after="0" w:lineRule="exact" w:line="240"/>
              <w:jc w:val="center"/>
            </w:pPr>
            <w:r>
              <w:rPr>
                <w:rFonts w:ascii="Times New Roman" w:hAnsi="Times New Roman" w:cs="Times New Roman" w:eastAsia="宋体"/>
                <w:b/>
                <w:color w:val="000000"/>
                <w:sz w:val="17"/>
              </w:rPr>
              <w:t>自理</w:t>
            </w:r>
          </w:p>
        </w:tc>
        <w:tc>
          <w:tcPr>
            <w:tcW w:type="dxa" w:w="1416"/>
            <w:tcMar>
              <w:top w:w="45" w:type="dxa"/>
              <w:start w:w="45" w:type="dxa"/>
              <w:bottom w:w="45" w:type="dxa"/>
              <w:end w:w="45" w:type="dxa"/>
            </w:tcMar>
            <w:vAlign w:val="center"/>
            <w:shd w:fill="D9EAF7"/>
          </w:tcPr>
          <w:p>
            <w:pPr>
              <w:spacing w:before="0" w:after="0" w:lineRule="exact" w:line="240"/>
              <w:jc w:val="center"/>
            </w:pPr>
            <w:r>
              <w:rPr>
                <w:rFonts w:ascii="Times New Roman" w:hAnsi="Times New Roman" w:cs="Times New Roman" w:eastAsia="宋体"/>
                <w:b/>
                <w:color w:val="000000"/>
                <w:sz w:val="17"/>
              </w:rPr>
              <w:t>半失能</w:t>
            </w:r>
          </w:p>
        </w:tc>
        <w:tc>
          <w:tcPr>
            <w:tcW w:type="dxa" w:w="1416"/>
            <w:tcMar>
              <w:top w:w="45" w:type="dxa"/>
              <w:start w:w="45" w:type="dxa"/>
              <w:bottom w:w="45" w:type="dxa"/>
              <w:end w:w="45" w:type="dxa"/>
            </w:tcMar>
            <w:vAlign w:val="center"/>
            <w:shd w:fill="D9EAF7"/>
          </w:tcPr>
          <w:p>
            <w:pPr>
              <w:spacing w:before="0" w:after="0" w:lineRule="exact" w:line="240"/>
              <w:jc w:val="center"/>
            </w:pPr>
            <w:r>
              <w:rPr>
                <w:rFonts w:ascii="Times New Roman" w:hAnsi="Times New Roman" w:cs="Times New Roman" w:eastAsia="宋体"/>
                <w:b/>
                <w:color w:val="000000"/>
                <w:sz w:val="17"/>
              </w:rPr>
              <w:t>失能</w:t>
            </w:r>
          </w:p>
        </w:tc>
        <w:tc>
          <w:tcPr>
            <w:tcW w:type="dxa" w:w="1416"/>
            <w:tcMar>
              <w:top w:w="45" w:type="dxa"/>
              <w:start w:w="45" w:type="dxa"/>
              <w:bottom w:w="45" w:type="dxa"/>
              <w:end w:w="45" w:type="dxa"/>
            </w:tcMar>
            <w:vAlign w:val="center"/>
            <w:shd w:fill="D9EAF7"/>
          </w:tcPr>
          <w:p>
            <w:pPr>
              <w:spacing w:before="0" w:after="0" w:lineRule="exact" w:line="240"/>
              <w:jc w:val="center"/>
            </w:pPr>
            <w:r>
              <w:rPr>
                <w:rFonts w:ascii="Times New Roman" w:hAnsi="Times New Roman" w:cs="Times New Roman" w:eastAsia="宋体"/>
                <w:b/>
                <w:color w:val="000000"/>
                <w:sz w:val="17"/>
              </w:rPr>
              <w:t>60+</w:t>
            </w:r>
          </w:p>
        </w:tc>
      </w:tr>
      <w:tr>
        <w:trPr/>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5</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E</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567.68</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168.39</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129.53</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865.60</w:t>
            </w:r>
          </w:p>
        </w:tc>
      </w:tr>
      <w:tr>
        <w:trPr/>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5</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F</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345.03</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101.17</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74.93</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521.13</w:t>
            </w:r>
          </w:p>
        </w:tc>
      </w:tr>
      <w:tr>
        <w:trPr/>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5</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G</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626.41</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184.84</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142.67</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953.93</w:t>
            </w:r>
          </w:p>
        </w:tc>
      </w:tr>
      <w:tr>
        <w:trPr/>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5</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H</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413.54</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122.69</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90.89</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627.12</w:t>
            </w:r>
          </w:p>
        </w:tc>
      </w:tr>
      <w:tr>
        <w:trPr/>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5</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I</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533.42</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159.45</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119.73</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812.60</w:t>
            </w:r>
          </w:p>
        </w:tc>
      </w:tr>
      <w:tr>
        <w:trPr/>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5</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J</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479.61</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140.37</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104.29</w:t>
            </w:r>
          </w:p>
        </w:tc>
        <w:tc>
          <w:tcPr>
            <w:tcW w:type="dxa" w:w="1416"/>
            <w:tcMar>
              <w:top w:w="45" w:type="dxa"/>
              <w:start w:w="45" w:type="dxa"/>
              <w:bottom w:w="45" w:type="dxa"/>
              <w:end w:w="45" w:type="dxa"/>
            </w:tcMar>
            <w:vAlign w:val="center"/>
          </w:tcPr>
          <w:p>
            <w:pPr>
              <w:spacing w:before="0" w:after="0" w:lineRule="exact" w:line="240"/>
              <w:jc w:val="center"/>
            </w:pPr>
            <w:r>
              <w:rPr>
                <w:rFonts w:ascii="Times New Roman" w:hAnsi="Times New Roman" w:cs="Times New Roman" w:eastAsia="宋体"/>
                <w:b w:val="0"/>
                <w:color w:val="000000"/>
                <w:sz w:val="17"/>
              </w:rPr>
              <w:t>724.28</w:t>
            </w:r>
          </w:p>
        </w:tc>
      </w:tr>
    </w:tbl>
    <w:p>
      <w:pPr>
        <w:pStyle w:val="Heading2"/>
        <w:keepNext/>
        <w:spacing w:before="100" w:after="40" w:lineRule="exact" w:line="400"/>
        <w:jc w:val="left"/>
      </w:pPr>
      <w:r>
        <w:rPr>
          <w:rFonts w:ascii="Times New Roman" w:hAnsi="Times New Roman" w:cs="Times New Roman" w:eastAsia="宋体"/>
          <w:b/>
          <w:color w:val="000000"/>
          <w:sz w:val="24"/>
        </w:rPr>
        <w:t>3.2 第5年末理论服务需求预测</w:t>
      </w:r>
    </w:p>
    <w:p>
      <w:pPr>
        <w:spacing w:before="40" w:after="40" w:lineRule="exact" w:line="400"/>
        <w:jc w:val="center"/>
      </w:pPr>
      <w:r>
        <w:rPr>
          <w:rFonts w:ascii="Times New Roman" w:hAnsi="Times New Roman" w:eastAsia="宋体" w:cs="Times New Roman"/>
          <w:b w:val="0"/>
          <w:i w:val="0"/>
          <w:color w:val="000000"/>
          <w:sz w:val="24"/>
        </w:rPr>
        <w:t>根据题目给出的各类老人月均服务频次，构造需求频次矩阵 R。理论需求不考虑消费能力约束，按 Q^0_{i,k,l}=N_{i,k}(5)r_{k,l} 计算。</w:t>
      </w:r>
    </w:p>
    <w:p>
      <w:pPr>
        <w:pStyle w:val="Caption"/>
        <w:keepNext/>
        <w:spacing w:before="80" w:after="60" w:lineRule="exact" w:line="360"/>
        <w:jc w:val="center"/>
      </w:pPr>
      <w:r>
        <w:rPr>
          <w:rFonts w:ascii="Times New Roman" w:hAnsi="Times New Roman" w:cs="Times New Roman" w:eastAsia="宋体"/>
          <w:b w:val="0"/>
          <w:color w:val="000000"/>
          <w:sz w:val="21"/>
        </w:rPr>
        <w:t>表4 各类老人月均服务需求频次矩阵（单位：次/月/人）</w:t>
      </w:r>
    </w:p>
    <w:tbl>
      <w:tblPr>
        <w:tblStyle w:val="TableGrid"/>
        <w:tblW w:type="dxa" w:w="85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2"/>
        <w:gridCol w:w="1502"/>
        <w:gridCol w:w="1502"/>
        <w:gridCol w:w="1502"/>
        <w:gridCol w:w="1502"/>
        <w:gridCol w:w="1502"/>
        <w:gridCol w:w="1502"/>
      </w:tblGrid>
      <w:tr>
        <w:trPr>
          <w:tblHeader w:val="true"/>
        </w:trPr>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老人类型</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助餐</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日间照料</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上门护理</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康复理疗</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助浴</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紧急救助</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自理</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14</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8</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0.15</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半失能</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14</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6</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4</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失能</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18</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6</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4</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3.00</w:t>
            </w:r>
          </w:p>
        </w:tc>
      </w:tr>
    </w:tbl>
    <w:p>
      <w:pPr>
        <w:pStyle w:val="Caption"/>
        <w:keepNext/>
        <w:spacing w:before="80" w:after="60" w:lineRule="exact" w:line="300"/>
        <w:jc w:val="center"/>
      </w:pPr>
      <w:r>
        <w:rPr>
          <w:rFonts w:ascii="Times New Roman" w:hAnsi="Times New Roman" w:cs="Times New Roman" w:eastAsia="宋体"/>
          <w:b w:val="0"/>
          <w:color w:val="000000"/>
          <w:sz w:val="18"/>
        </w:rPr>
        <w:t>表5 第5年末理论需求量：按小区、老人类型和服务项目（单位：次/月）</w:t>
      </w:r>
    </w:p>
    <w:tbl>
      <w:tblPr>
        <w:tblW w:type="dxa" w:w="850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7"/>
        <w:gridCol w:w="1127"/>
        <w:gridCol w:w="1127"/>
        <w:gridCol w:w="1127"/>
        <w:gridCol w:w="1127"/>
        <w:gridCol w:w="1127"/>
        <w:gridCol w:w="1127"/>
        <w:gridCol w:w="1127"/>
      </w:tblGrid>
      <w:tr>
        <w:trPr>
          <w:tblHeader/>
        </w:trPr>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小区</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老人类型</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助餐</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日间照料</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上门护理</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康复理疗</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助浴</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紧急救助</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A</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3011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2107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903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602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301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151</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A</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2516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2058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1372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686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457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343</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A</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7297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4170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1042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78</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B</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2587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1811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776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517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259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129</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B</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2340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1915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1277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638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426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319</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B</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6097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3484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871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65</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C</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3973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2781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1192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795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397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199</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C</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3280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2683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1789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894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596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447</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C</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9352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5344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1336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100</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D</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2307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1615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692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461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231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115</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D</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2063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1688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1125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563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375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281</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D</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5481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3132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783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59</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E</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3368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2357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1010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674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337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168</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E</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2850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2332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1554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777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518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389</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E</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7948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4541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1135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85</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F</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2023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1416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607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405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202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101</w:t>
            </w:r>
          </w:p>
        </w:tc>
      </w:tr>
    </w:tbl>
    <w:p>
      <w:pPr>
        <w:spacing w:before="40" w:after="40" w:lineRule="exact" w:line="280"/>
        <w:jc w:val="center"/>
      </w:pPr>
      <w:r>
        <w:rPr>
          <w:rFonts w:ascii="Times New Roman" w:hAnsi="Times New Roman" w:cs="Times New Roman" w:eastAsia="宋体"/>
          <w:b w:val="0"/>
          <w:color w:val="000000"/>
          <w:sz w:val="18"/>
        </w:rPr>
        <w:t>续表</w:t>
      </w:r>
    </w:p>
    <w:tbl>
      <w:tblPr>
        <w:tblW w:type="dxa" w:w="850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7"/>
        <w:gridCol w:w="1127"/>
        <w:gridCol w:w="1127"/>
        <w:gridCol w:w="1127"/>
        <w:gridCol w:w="1127"/>
        <w:gridCol w:w="1127"/>
        <w:gridCol w:w="1127"/>
        <w:gridCol w:w="1127"/>
      </w:tblGrid>
      <w:tr>
        <w:trPr>
          <w:tblHeader/>
        </w:trPr>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小区</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老人类型</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助餐</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日间照料</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上门护理</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康复理疗</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助浴</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紧急救助</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F</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1648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1349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899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450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300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225</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F</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4830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2760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690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52</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G</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3697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2588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1109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739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370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185</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G</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3139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2568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1712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856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571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428</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G</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8770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5011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1253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94</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H</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2454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1718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736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491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245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123</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H</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2000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1636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1091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545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364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273</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H</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5790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3308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827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62</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I</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3189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2232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957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638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319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159</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I</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2634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2155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1437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718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479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359</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I</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7468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4267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1067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80</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J</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2807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1965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842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561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281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140</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J</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2294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1877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1251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626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417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313</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J</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6715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3837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959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72</w:t>
            </w:r>
          </w:p>
        </w:tc>
      </w:tr>
    </w:tbl>
    <w:p>
      <w:pPr>
        <w:pStyle w:val="Caption"/>
        <w:keepNext/>
        <w:spacing w:before="80" w:after="60" w:lineRule="exact" w:line="360"/>
        <w:jc w:val="center"/>
      </w:pPr>
      <w:r>
        <w:rPr>
          <w:rFonts w:ascii="Times New Roman" w:hAnsi="Times New Roman" w:cs="Times New Roman" w:eastAsia="宋体"/>
          <w:b w:val="0"/>
          <w:color w:val="000000"/>
          <w:sz w:val="21"/>
        </w:rPr>
        <w:t>表6 第5年末理论需求量汇总：按小区和服务项目（单位：次/月）</w:t>
      </w:r>
    </w:p>
    <w:tbl>
      <w:tblPr>
        <w:tblStyle w:val="TableGrid"/>
        <w:tblW w:type="dxa" w:w="85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2"/>
        <w:gridCol w:w="1502"/>
        <w:gridCol w:w="1502"/>
        <w:gridCol w:w="1502"/>
        <w:gridCol w:w="1502"/>
        <w:gridCol w:w="1502"/>
        <w:gridCol w:w="1502"/>
      </w:tblGrid>
      <w:tr>
        <w:trPr>
          <w:tblHeader w:val="true"/>
        </w:trPr>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小区</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助餐</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日间照料</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上门护理</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康复理疗</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助浴</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紧急救助</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A</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12823</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8336</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2276</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2331</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758</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572</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B</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11025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7210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2053</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2027</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684</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514</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C</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16605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10809</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2981</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3025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994</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746</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D</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9851</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6435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1817</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1807</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606</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455</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E</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14165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9230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2565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2586</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855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642</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F</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8502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5525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1506</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1544</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502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378</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G</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15605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10167</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2821</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2848</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940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707</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H</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10243</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6662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1827</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1863</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609</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457</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I</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13291</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8655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2393</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2423</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798</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599</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J</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11816</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7679</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2094</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2146</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698</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525</w:t>
            </w:r>
          </w:p>
        </w:tc>
      </w:tr>
    </w:tbl>
    <w:p>
      <w:pPr>
        <w:pStyle w:val="Heading2"/>
        <w:keepNext/>
        <w:spacing w:before="100" w:after="40" w:lineRule="exact" w:line="400"/>
        <w:jc w:val="left"/>
      </w:pPr>
      <w:r>
        <w:rPr>
          <w:rFonts w:ascii="Times New Roman" w:hAnsi="Times New Roman" w:cs="Times New Roman" w:eastAsia="宋体"/>
          <w:b/>
          <w:color w:val="000000"/>
          <w:sz w:val="24"/>
        </w:rPr>
        <w:t>3.3 消费约束后的实际月均服务需求</w:t>
      </w:r>
    </w:p>
    <w:p>
      <w:pPr>
        <w:spacing w:before="40" w:after="40" w:lineRule="exact" w:line="400"/>
        <w:jc w:val="center"/>
      </w:pPr>
      <w:r>
        <w:rPr>
          <w:rFonts w:ascii="Times New Roman" w:hAnsi="Times New Roman" w:eastAsia="宋体" w:cs="Times New Roman"/>
          <w:b w:val="0"/>
          <w:i w:val="0"/>
          <w:color w:val="000000"/>
          <w:sz w:val="24"/>
        </w:rPr>
        <w:t>消费约束通过缩放系数 λ_{i,k} 体现。若某小区某类型老人理论消费额未超过其月消费上限，则 λ_{i,k}=1；否则按消费上限与理论消费额之比同比例缩放该类型老人对所有服务的需求。紧急救助虽然免费，但为保持风险服务可达性，仍随该类老人服务消费能力统一折减。</w:t>
      </w:r>
    </w:p>
    <w:p>
      <w:pPr>
        <w:pStyle w:val="Caption"/>
        <w:keepNext/>
        <w:spacing w:before="80" w:after="60" w:lineRule="exact" w:line="360"/>
        <w:jc w:val="center"/>
      </w:pPr>
      <w:r>
        <w:rPr>
          <w:rFonts w:ascii="Times New Roman" w:hAnsi="Times New Roman" w:cs="Times New Roman" w:eastAsia="宋体"/>
          <w:b w:val="0"/>
          <w:color w:val="000000"/>
          <w:sz w:val="21"/>
        </w:rPr>
        <w:t>表7 消费约束缩放系数</w:t>
      </w:r>
    </w:p>
    <w:tbl>
      <w:tblPr>
        <w:tblStyle w:val="TableGrid"/>
        <w:tblW w:type="dxa" w:w="85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28"/>
        <w:gridCol w:w="2628"/>
        <w:gridCol w:w="2628"/>
        <w:gridCol w:w="2628"/>
      </w:tblGrid>
      <w:tr>
        <w:trPr>
          <w:tblHeader w:val="true"/>
        </w:trPr>
        <w:tc>
          <w:tcPr>
            <w:tcW w:type="dxa" w:w="2125"/>
            <w:vAlign w:val="center"/>
            <w:shd w:fill="D9EAF7"/>
            <w:tcMar>
              <w:top w:w="70" w:type="dxa"/>
              <w:start w:w="70" w:type="dxa"/>
              <w:bottom w:w="70" w:type="dxa"/>
              <w:end w:w="70" w:type="dxa"/>
            </w:tcMar>
          </w:tcPr>
          <w:p>
            <w:pPr>
              <w:spacing w:before="0" w:after="0" w:lineRule="exact" w:line="280"/>
              <w:jc w:val="center"/>
            </w:pPr>
            <w:r>
              <w:rPr>
                <w:rFonts w:ascii="Times New Roman" w:hAnsi="Times New Roman" w:cs="Times New Roman" w:eastAsia="宋体"/>
                <w:b/>
                <w:color w:val="000000"/>
                <w:sz w:val="20"/>
              </w:rPr>
            </w:r>
            <w:r>
              <w:rPr>
                <w:rFonts w:ascii="Times New Roman" w:hAnsi="Times New Roman" w:eastAsia="宋体" w:cs="Times New Roman"/>
                <w:b/>
                <w:color w:val="000000"/>
                <w:sz w:val="20"/>
              </w:rPr>
              <w:t>小区</w:t>
            </w:r>
          </w:p>
        </w:tc>
        <w:tc>
          <w:tcPr>
            <w:tcW w:type="dxa" w:w="2125"/>
            <w:vAlign w:val="center"/>
            <w:shd w:fill="D9EAF7"/>
            <w:tcMar>
              <w:top w:w="70" w:type="dxa"/>
              <w:start w:w="70" w:type="dxa"/>
              <w:bottom w:w="70" w:type="dxa"/>
              <w:end w:w="70" w:type="dxa"/>
            </w:tcMar>
          </w:tcPr>
          <w:p>
            <w:pPr>
              <w:spacing w:before="0" w:after="0" w:lineRule="exact" w:line="280"/>
              <w:jc w:val="center"/>
            </w:pPr>
            <w:r>
              <w:rPr>
                <w:rFonts w:ascii="Times New Roman" w:hAnsi="Times New Roman" w:cs="Times New Roman" w:eastAsia="宋体"/>
                <w:b/>
                <w:color w:val="000000"/>
                <w:sz w:val="20"/>
              </w:rPr>
            </w:r>
            <w:r>
              <w:rPr>
                <w:rFonts w:ascii="Times New Roman" w:hAnsi="Times New Roman" w:eastAsia="宋体" w:cs="Times New Roman"/>
                <w:b/>
                <w:color w:val="000000"/>
                <w:sz w:val="20"/>
              </w:rPr>
              <w:t>自理缩放系数</w:t>
            </w:r>
          </w:p>
        </w:tc>
        <w:tc>
          <w:tcPr>
            <w:tcW w:type="dxa" w:w="2125"/>
            <w:vAlign w:val="center"/>
            <w:shd w:fill="D9EAF7"/>
            <w:tcMar>
              <w:top w:w="70" w:type="dxa"/>
              <w:start w:w="70" w:type="dxa"/>
              <w:bottom w:w="70" w:type="dxa"/>
              <w:end w:w="70" w:type="dxa"/>
            </w:tcMar>
          </w:tcPr>
          <w:p>
            <w:pPr>
              <w:spacing w:before="0" w:after="0" w:lineRule="exact" w:line="280"/>
              <w:jc w:val="center"/>
            </w:pPr>
            <w:r>
              <w:rPr>
                <w:rFonts w:ascii="Times New Roman" w:hAnsi="Times New Roman" w:cs="Times New Roman" w:eastAsia="宋体"/>
                <w:b/>
                <w:color w:val="000000"/>
                <w:sz w:val="20"/>
              </w:rPr>
            </w:r>
            <w:r>
              <w:rPr>
                <w:rFonts w:ascii="Times New Roman" w:hAnsi="Times New Roman" w:eastAsia="宋体" w:cs="Times New Roman"/>
                <w:b/>
                <w:color w:val="000000"/>
                <w:sz w:val="20"/>
              </w:rPr>
              <w:t>半失能缩放系数</w:t>
            </w:r>
          </w:p>
        </w:tc>
        <w:tc>
          <w:tcPr>
            <w:tcW w:type="dxa" w:w="2125"/>
            <w:vAlign w:val="center"/>
            <w:shd w:fill="D9EAF7"/>
            <w:tcMar>
              <w:top w:w="70" w:type="dxa"/>
              <w:start w:w="70" w:type="dxa"/>
              <w:bottom w:w="70" w:type="dxa"/>
              <w:end w:w="70" w:type="dxa"/>
            </w:tcMar>
          </w:tcPr>
          <w:p>
            <w:pPr>
              <w:spacing w:before="0" w:after="0" w:lineRule="exact" w:line="280"/>
              <w:jc w:val="center"/>
            </w:pPr>
            <w:r>
              <w:rPr>
                <w:rFonts w:ascii="Times New Roman" w:hAnsi="Times New Roman" w:cs="Times New Roman" w:eastAsia="宋体"/>
                <w:b/>
                <w:color w:val="000000"/>
                <w:sz w:val="20"/>
              </w:rPr>
            </w:r>
            <w:r>
              <w:rPr>
                <w:rFonts w:ascii="Times New Roman" w:hAnsi="Times New Roman" w:eastAsia="宋体" w:cs="Times New Roman"/>
                <w:b/>
                <w:color w:val="000000"/>
                <w:sz w:val="20"/>
              </w:rPr>
              <w:t>失能缩放系数</w:t>
            </w:r>
          </w:p>
        </w:tc>
      </w:tr>
      <w:tr>
        <w:trPr/>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A</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1</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1.00</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0.84</w:t>
            </w:r>
          </w:p>
        </w:tc>
      </w:tr>
      <w:tr>
        <w:trPr/>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B</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1</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0.94</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0.77</w:t>
            </w:r>
          </w:p>
        </w:tc>
      </w:tr>
      <w:tr>
        <w:trPr/>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C</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1</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1.00</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0.94</w:t>
            </w:r>
          </w:p>
        </w:tc>
      </w:tr>
      <w:tr>
        <w:trPr/>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D</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1</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0.88</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0.72</w:t>
            </w:r>
          </w:p>
        </w:tc>
      </w:tr>
      <w:tr>
        <w:trPr/>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E</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1</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1.00</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0.87</w:t>
            </w:r>
          </w:p>
        </w:tc>
      </w:tr>
      <w:tr>
        <w:trPr/>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F</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1</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0.82</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0.67</w:t>
            </w:r>
          </w:p>
        </w:tc>
      </w:tr>
      <w:tr>
        <w:trPr/>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G</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1</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1.00</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0.89</w:t>
            </w:r>
          </w:p>
        </w:tc>
      </w:tr>
      <w:tr>
        <w:trPr/>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H</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1</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0.91</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0.74</w:t>
            </w:r>
          </w:p>
        </w:tc>
      </w:tr>
      <w:tr>
        <w:trPr/>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I</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1</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1.00</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0.82</w:t>
            </w:r>
          </w:p>
        </w:tc>
      </w:tr>
      <w:tr>
        <w:trPr/>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J</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1</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0.97</w:t>
            </w:r>
          </w:p>
        </w:tc>
        <w:tc>
          <w:tcPr>
            <w:tcW w:type="dxa" w:w="2125"/>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0.79</w:t>
            </w:r>
          </w:p>
        </w:tc>
      </w:tr>
    </w:tbl>
    <w:p>
      <w:pPr>
        <w:pStyle w:val="Caption"/>
        <w:keepNext/>
        <w:spacing w:before="80" w:after="60" w:lineRule="exact" w:line="300"/>
        <w:jc w:val="center"/>
      </w:pPr>
      <w:r>
        <w:rPr>
          <w:rFonts w:ascii="Times New Roman" w:hAnsi="Times New Roman" w:cs="Times New Roman" w:eastAsia="宋体"/>
          <w:b w:val="0"/>
          <w:color w:val="000000"/>
          <w:sz w:val="18"/>
        </w:rPr>
        <w:t>表8 第5年末消费约束后实际需求：按小区、老人类型和服务项目（单位：次/月）</w:t>
      </w:r>
    </w:p>
    <w:tbl>
      <w:tblPr>
        <w:tblW w:type="dxa" w:w="850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7"/>
        <w:gridCol w:w="1127"/>
        <w:gridCol w:w="1127"/>
        <w:gridCol w:w="1127"/>
        <w:gridCol w:w="1127"/>
        <w:gridCol w:w="1127"/>
        <w:gridCol w:w="1127"/>
        <w:gridCol w:w="1127"/>
      </w:tblGrid>
      <w:tr>
        <w:trPr>
          <w:tblHeader/>
        </w:trPr>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小区</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老人类型</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助餐</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日间照料</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上门护理</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康复理疗</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助浴</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紧急救助</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A</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3011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2107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903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602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301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151</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A</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2124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1738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1159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579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386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290</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A</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7297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4170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1042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78</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B</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2439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1708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732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488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244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122</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B</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1802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1474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983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491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328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246</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B</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6097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3484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871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65</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C</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3973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2781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1192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795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397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199</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C</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3095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2532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1688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844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563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422</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C</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9352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5344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1336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100</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D</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2035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1425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611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407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204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102</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D</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1486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1215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810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405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270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203</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D</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5481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3132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783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59</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E</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3368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2357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1010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674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337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168</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E</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2477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2027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1351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676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450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338</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E</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7948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4541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1135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85</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F</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1662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1163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498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332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166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83</w:t>
            </w:r>
          </w:p>
        </w:tc>
      </w:tr>
    </w:tbl>
    <w:p>
      <w:pPr>
        <w:spacing w:before="40" w:after="40" w:lineRule="exact" w:line="280"/>
        <w:jc w:val="center"/>
      </w:pPr>
      <w:r>
        <w:rPr>
          <w:rFonts w:ascii="Times New Roman" w:hAnsi="Times New Roman" w:cs="Times New Roman" w:eastAsia="宋体"/>
          <w:b w:val="0"/>
          <w:color w:val="000000"/>
          <w:sz w:val="18"/>
        </w:rPr>
        <w:t>续表</w:t>
      </w:r>
    </w:p>
    <w:tbl>
      <w:tblPr>
        <w:tblW w:type="dxa" w:w="850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7"/>
        <w:gridCol w:w="1127"/>
        <w:gridCol w:w="1127"/>
        <w:gridCol w:w="1127"/>
        <w:gridCol w:w="1127"/>
        <w:gridCol w:w="1127"/>
        <w:gridCol w:w="1127"/>
        <w:gridCol w:w="1127"/>
      </w:tblGrid>
      <w:tr>
        <w:trPr>
          <w:tblHeader/>
        </w:trPr>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小区</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老人类型</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助餐</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日间照料</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上门护理</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康复理疗</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助浴</w:t>
            </w:r>
          </w:p>
        </w:tc>
        <w:tc>
          <w:tcPr>
            <w:tcW w:type="dxa" w:w="1062"/>
            <w:tcMar>
              <w:top w:w="25" w:type="dxa"/>
              <w:start w:w="25" w:type="dxa"/>
              <w:bottom w:w="25" w:type="dxa"/>
              <w:end w:w="25" w:type="dxa"/>
            </w:tcMar>
            <w:vAlign w:val="center"/>
            <w:shd w:fill="D9EAF7"/>
          </w:tcPr>
          <w:p>
            <w:pPr>
              <w:spacing w:before="0" w:after="0" w:lineRule="exact" w:line="180"/>
              <w:jc w:val="center"/>
            </w:pPr>
            <w:r>
              <w:rPr>
                <w:rFonts w:ascii="Times New Roman" w:hAnsi="Times New Roman" w:cs="Times New Roman" w:eastAsia="宋体"/>
                <w:b/>
                <w:color w:val="000000"/>
                <w:sz w:val="14"/>
              </w:rPr>
              <w:t>紧急救助</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F</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1105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904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603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301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201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151</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F</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4830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2760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690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52</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G</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3697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2588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1109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739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370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185</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G</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2806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2296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1531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765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510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383</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G</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8770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5011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1253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94</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H</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2239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1567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672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448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224</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112</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H</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1490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1219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813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406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271</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203</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H</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5790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3308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827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62</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I</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3189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2232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957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638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319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159</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I</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2159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1766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1177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589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392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294</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I</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7468</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4267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1067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80</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J</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半失能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2732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1913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820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546</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273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137</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J</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失能</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1823</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1492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995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497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332</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249</w:t>
            </w:r>
          </w:p>
        </w:tc>
      </w:tr>
      <w:tr>
        <w:trPr/>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J</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自理</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6715</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3837</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959</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0</w:t>
            </w:r>
          </w:p>
        </w:tc>
        <w:tc>
          <w:tcPr>
            <w:tcW w:type="dxa" w:w="1062"/>
            <w:tcMar>
              <w:top w:w="25" w:type="dxa"/>
              <w:start w:w="25" w:type="dxa"/>
              <w:bottom w:w="25" w:type="dxa"/>
              <w:end w:w="25" w:type="dxa"/>
            </w:tcMar>
            <w:vAlign w:val="center"/>
          </w:tcPr>
          <w:p>
            <w:pPr>
              <w:spacing w:before="0" w:after="0" w:lineRule="exact" w:line="180"/>
              <w:jc w:val="center"/>
            </w:pPr>
            <w:r>
              <w:rPr>
                <w:rFonts w:ascii="Times New Roman" w:hAnsi="Times New Roman" w:cs="Times New Roman" w:eastAsia="宋体"/>
                <w:b w:val="0"/>
                <w:color w:val="000000"/>
                <w:sz w:val="14"/>
              </w:rPr>
              <w:t>72</w:t>
            </w:r>
          </w:p>
        </w:tc>
      </w:tr>
    </w:tbl>
    <w:p>
      <w:pPr>
        <w:pStyle w:val="Caption"/>
        <w:keepNext/>
        <w:spacing w:before="80" w:after="60" w:lineRule="exact" w:line="360"/>
        <w:jc w:val="center"/>
      </w:pPr>
      <w:r>
        <w:rPr>
          <w:rFonts w:ascii="Times New Roman" w:hAnsi="Times New Roman" w:cs="Times New Roman" w:eastAsia="宋体"/>
          <w:b w:val="0"/>
          <w:color w:val="000000"/>
          <w:sz w:val="21"/>
        </w:rPr>
        <w:t>表9 第5年末消费约束后实际需求汇总：按小区和服务项目（单位：次/月）</w:t>
      </w:r>
    </w:p>
    <w:tbl>
      <w:tblPr>
        <w:tblStyle w:val="TableGrid"/>
        <w:tblW w:type="dxa" w:w="85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2"/>
        <w:gridCol w:w="1502"/>
        <w:gridCol w:w="1502"/>
        <w:gridCol w:w="1502"/>
        <w:gridCol w:w="1502"/>
        <w:gridCol w:w="1502"/>
        <w:gridCol w:w="1502"/>
      </w:tblGrid>
      <w:tr>
        <w:trPr>
          <w:tblHeader w:val="true"/>
        </w:trPr>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小区</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助餐</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日间照料</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上门护理</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康复理疗</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助浴</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紧急救助</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A</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12432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8015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2062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2223</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687</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519</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B</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10338</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6666</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1715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1850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572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433</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C</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16420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10657</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2880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2975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960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721</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D</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9002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5772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1421</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1595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474</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364</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E</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13793</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8925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2361</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2485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787</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591</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F</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7597</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4827</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1101</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1323</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367</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286</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G</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15273</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9895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2640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2757</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880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662</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H</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9519</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6094</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1485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1681</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495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377</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I</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12816</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8265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2134</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2294</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711</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533</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J</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11270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7242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1815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2002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605</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458</w:t>
            </w:r>
          </w:p>
        </w:tc>
      </w:tr>
    </w:tbl>
    <w:p>
      <w:pPr>
        <w:keepNext/>
        <w:spacing w:before="80" w:after="60" w:lineRule="exact" w:line="360"/>
        <w:jc w:val="center"/>
      </w:pPr>
      <w:r>
        <w:rPr>
          <w:rFonts w:ascii="Times New Roman" w:hAnsi="Times New Roman" w:eastAsia="宋体" w:cs="Times New Roman"/>
          <w:b w:val="0"/>
          <w:color w:val="000000"/>
          <w:sz w:val="21"/>
        </w:rPr>
        <w:t>图2 第5年末消费约束后各项服务需求总量</w:t>
      </w:r>
    </w:p>
    <w:p>
      <w:pPr>
        <w:jc w:val="center"/>
      </w:pPr>
      <w:r>
        <w:rPr>
          <w:color w:val="000000"/>
        </w:rPr>
        <w:drawing>
          <wp:inline xmlns:a="http://schemas.openxmlformats.org/drawingml/2006/main" xmlns:pic="http://schemas.openxmlformats.org/drawingml/2006/picture">
            <wp:extent cx="5112000" cy="3067200"/>
            <wp:docPr id="2" name="Picture 2"/>
            <wp:cNvGraphicFramePr>
              <a:graphicFrameLocks noChangeAspect="1"/>
            </wp:cNvGraphicFramePr>
            <a:graphic>
              <a:graphicData uri="http://schemas.openxmlformats.org/drawingml/2006/picture">
                <pic:pic>
                  <pic:nvPicPr>
                    <pic:cNvPr id="0" name="fig_service_demand.png"/>
                    <pic:cNvPicPr/>
                  </pic:nvPicPr>
                  <pic:blipFill>
                    <a:blip r:embed="rId11"/>
                    <a:stretch>
                      <a:fillRect/>
                    </a:stretch>
                  </pic:blipFill>
                  <pic:spPr>
                    <a:xfrm>
                      <a:off x="0" y="0"/>
                      <a:ext cx="5112000" cy="3067200"/>
                    </a:xfrm>
                    <a:prstGeom prst="rect"/>
                  </pic:spPr>
                </pic:pic>
              </a:graphicData>
            </a:graphic>
          </wp:inline>
        </w:drawing>
      </w:r>
    </w:p>
    <w:p>
      <w:pPr>
        <w:spacing w:before="0" w:after="0" w:lineRule="exact" w:line="400"/>
        <w:ind w:firstLine="480"/>
        <w:jc w:val="both"/>
      </w:pPr>
      <w:r>
        <w:rPr>
          <w:rFonts w:ascii="Times New Roman" w:hAnsi="Times New Roman" w:eastAsia="宋体" w:cs="Times New Roman"/>
          <w:b w:val="0"/>
          <w:color w:val="000000"/>
          <w:sz w:val="24"/>
        </w:rPr>
        <w:t>由表9可得，消费约束后第5年末六项服务月需求合计约 247099 次，其中助餐 118460 次/月、日间照料 76358 次/月，二者构成需求主体。</w:t>
      </w:r>
    </w:p>
    <w:p>
      <w:pPr>
        <w:pStyle w:val="Heading1"/>
        <w:keepNext/>
        <w:spacing w:before="160" w:after="80" w:lineRule="exact" w:line="400"/>
        <w:jc w:val="left"/>
      </w:pPr>
      <w:r>
        <w:rPr>
          <w:rFonts w:ascii="Times New Roman" w:hAnsi="Times New Roman" w:cs="Times New Roman" w:eastAsia="宋体"/>
          <w:b/>
          <w:color w:val="000000"/>
          <w:sz w:val="24"/>
        </w:rPr>
        <w:t>四、问题二：服务站选址与规模优化</w:t>
      </w:r>
    </w:p>
    <w:p>
      <w:pPr>
        <w:pStyle w:val="Heading2"/>
        <w:keepNext/>
        <w:spacing w:before="100" w:after="40" w:lineRule="exact" w:line="400"/>
        <w:jc w:val="left"/>
      </w:pPr>
      <w:r>
        <w:rPr>
          <w:rFonts w:ascii="Times New Roman" w:hAnsi="Times New Roman" w:cs="Times New Roman" w:eastAsia="宋体"/>
          <w:b/>
          <w:color w:val="000000"/>
          <w:sz w:val="24"/>
        </w:rPr>
        <w:t>4.1 选址-规模优化模型</w:t>
      </w:r>
    </w:p>
    <w:p>
      <w:pPr>
        <w:spacing w:before="40" w:after="40" w:lineRule="exact" w:line="400"/>
        <w:jc w:val="center"/>
      </w:pPr>
      <w:r>
        <w:rPr>
          <w:rFonts w:ascii="Times New Roman" w:hAnsi="Times New Roman" w:eastAsia="宋体" w:cs="Times New Roman"/>
          <w:b w:val="0"/>
          <w:i w:val="0"/>
          <w:color w:val="000000"/>
          <w:sz w:val="24"/>
        </w:rPr>
        <w:t>服务站可设在 10 个小区内，规模为小型、中型、大型，建设成本分别为 18、32、45 万元，日容量分别为 1000、2000、3000 人次。设 B=120 万元为建设预算。综合满意度采用距离、响应、价格三部分加权：</w:t>
      </w:r>
    </w:p>
    <w:p>
      <w:pPr>
        <w:pStyle w:val="EquationText"/>
        <w:spacing w:before="40" w:after="40" w:lineRule="exact" w:line="400"/>
        <w:jc w:val="center"/>
      </w:pPr>
      <w:r>
        <w:rPr>
          <w:rFonts w:ascii="Times New Roman" w:hAnsi="Times New Roman" w:cs="Times New Roman" w:eastAsia="宋体"/>
          <w:b w:val="0"/>
          <w:i w:val="0"/>
          <w:color w:val="000000"/>
          <w:sz w:val="24"/>
        </w:rPr>
        <w:t>S_{ij}=0.2S^d(d_{ij})+0.3S^r(u_j)+0.5S^p_{ij}</w:t>
      </w:r>
    </w:p>
    <w:p>
      <w:pPr>
        <w:pStyle w:val="EquationText"/>
        <w:spacing w:before="40" w:after="40" w:lineRule="exact" w:line="400"/>
        <w:jc w:val="center"/>
      </w:pPr>
      <w:r>
        <w:rPr>
          <w:rFonts w:ascii="Times New Roman" w:hAnsi="Times New Roman" w:cs="Times New Roman" w:eastAsia="宋体"/>
          <w:b w:val="0"/>
          <w:i w:val="0"/>
          <w:color w:val="000000"/>
          <w:sz w:val="24"/>
        </w:rPr>
        <w:t>u_j = [Σ_i a_{ij} Q_i S_{ij}]/(30Cap_j)</w:t>
      </w:r>
    </w:p>
    <w:p>
      <w:pPr>
        <w:pStyle w:val="EquationText"/>
        <w:spacing w:before="40" w:after="40" w:lineRule="exact" w:line="400"/>
        <w:jc w:val="center"/>
      </w:pPr>
      <w:r>
        <w:rPr>
          <w:rFonts w:ascii="Times New Roman" w:hAnsi="Times New Roman" w:cs="Times New Roman" w:eastAsia="宋体"/>
          <w:b w:val="0"/>
          <w:i w:val="0"/>
          <w:color w:val="000000"/>
          <w:sz w:val="24"/>
        </w:rPr>
        <w:t>Coverage = [Σ_i N_i(5) 1(Σ_j a_{ij}≥1)]/[Σ_i N_i(5)]</w:t>
      </w:r>
    </w:p>
    <w:p>
      <w:pPr>
        <w:spacing w:before="40" w:after="40" w:lineRule="exact" w:line="400"/>
        <w:jc w:val="center"/>
      </w:pPr>
      <w:r>
        <w:rPr>
          <w:rFonts w:ascii="Times New Roman" w:hAnsi="Times New Roman" w:eastAsia="宋体" w:cs="Times New Roman"/>
          <w:b w:val="0"/>
          <w:i w:val="0"/>
          <w:color w:val="000000"/>
          <w:sz w:val="24"/>
        </w:rPr>
        <w:t>在问题二中价格仍按基准价格计算，故 S^p=1。优化目标采用字典序：先最大化覆盖率，再最大化老人数量加权的满意度，最后在同等覆盖与满意度下提高年度利润。</w:t>
      </w:r>
    </w:p>
    <w:p>
      <w:pPr>
        <w:pStyle w:val="EquationText"/>
        <w:spacing w:before="40" w:after="40" w:lineRule="exact" w:line="400"/>
        <w:jc w:val="center"/>
      </w:pPr>
      <w:r>
        <w:rPr>
          <w:rFonts w:ascii="Times New Roman" w:hAnsi="Times New Roman" w:cs="Times New Roman" w:eastAsia="宋体"/>
          <w:b w:val="0"/>
          <w:i w:val="0"/>
          <w:color w:val="000000"/>
          <w:sz w:val="24"/>
        </w:rPr>
        <w:t>max  (Coverage,  Σ_i N_i S_i / Σ_i N_i,  Σ_j Profit_j)</w:t>
      </w:r>
    </w:p>
    <w:p>
      <w:pPr>
        <w:pStyle w:val="EquationText"/>
        <w:spacing w:before="40" w:after="40" w:lineRule="exact" w:line="400"/>
        <w:jc w:val="center"/>
      </w:pPr>
      <w:r>
        <w:rPr>
          <w:rFonts w:ascii="Times New Roman" w:hAnsi="Times New Roman" w:cs="Times New Roman" w:eastAsia="宋体"/>
          <w:b w:val="0"/>
          <w:i w:val="0"/>
          <w:color w:val="000000"/>
          <w:sz w:val="24"/>
        </w:rPr>
        <w:t>s.t.  Σ_{j,s} cost_s y_{j,s} ≤ 120,  d_{ij}a_{ij}≤1000,  Σ_j a_{ij}≤1,  a_{ij}≤Σ_s y_{j,s}</w:t>
      </w:r>
    </w:p>
    <w:p>
      <w:pPr>
        <w:spacing w:before="40" w:after="40" w:lineRule="exact" w:line="400"/>
        <w:jc w:val="center"/>
      </w:pPr>
      <w:r>
        <w:rPr>
          <w:rFonts w:ascii="Times New Roman" w:hAnsi="Times New Roman" w:eastAsia="宋体" w:cs="Times New Roman"/>
          <w:b w:val="0"/>
          <w:i w:val="0"/>
          <w:color w:val="000000"/>
          <w:sz w:val="24"/>
        </w:rPr>
        <w:t>这里将响应能力写入满意度函数。若将题面“服务≤容量”理解为硬约束，还需增加 Σ_i a_{ij}Q_iS_{ij}/30≤Cap_j；第七节会说明 GitHub 项目当前输出未严格加入这一硬约束。</w:t>
      </w:r>
    </w:p>
    <w:p>
      <w:pPr>
        <w:pStyle w:val="Heading2"/>
        <w:keepNext/>
        <w:spacing w:before="100" w:after="40" w:lineRule="exact" w:line="400"/>
        <w:jc w:val="left"/>
      </w:pPr>
      <w:r>
        <w:rPr>
          <w:rFonts w:ascii="Times New Roman" w:hAnsi="Times New Roman" w:cs="Times New Roman" w:eastAsia="宋体"/>
          <w:b/>
          <w:color w:val="000000"/>
          <w:sz w:val="24"/>
        </w:rPr>
        <w:t>4.2 求解算法与复杂度</w:t>
      </w:r>
    </w:p>
    <w:p>
      <w:pPr>
        <w:spacing w:before="0" w:after="0" w:lineRule="exact" w:line="400"/>
        <w:ind w:firstLine="480"/>
        <w:jc w:val="both"/>
      </w:pPr>
      <w:r>
        <w:rPr>
          <w:rFonts w:ascii="Times New Roman" w:hAnsi="Times New Roman" w:eastAsia="宋体" w:cs="Times New Roman"/>
          <w:b w:val="0"/>
          <w:color w:val="000000"/>
          <w:sz w:val="24"/>
        </w:rPr>
        <w:t>由于候选位置只有 10 个，规模只有 3 类，本文采用“组合枚举 + 固定点满意度更新 + 字典序择优”的精确枚举算法。</w:t>
      </w:r>
    </w:p>
    <w:p>
      <w:pPr>
        <w:pStyle w:val="ListBullet"/>
        <w:spacing w:before="0" w:after="0" w:lineRule="exact" w:line="400"/>
        <w:ind w:left="480"/>
        <w:jc w:val="left"/>
      </w:pPr>
      <w:r>
        <w:rPr>
          <w:rFonts w:ascii="Times New Roman" w:hAnsi="Times New Roman" w:eastAsia="宋体" w:cs="Times New Roman"/>
          <w:b w:val="0"/>
          <w:color w:val="000000"/>
          <w:sz w:val="24"/>
        </w:rPr>
        <w:t>枚举站点子集及其规模组合，剔除建设成本超过预算的方案。</w:t>
      </w:r>
    </w:p>
    <w:p>
      <w:pPr>
        <w:pStyle w:val="ListBullet"/>
        <w:spacing w:before="0" w:after="0" w:lineRule="exact" w:line="400"/>
        <w:ind w:left="480"/>
        <w:jc w:val="left"/>
      </w:pPr>
      <w:r>
        <w:rPr>
          <w:rFonts w:ascii="Times New Roman" w:hAnsi="Times New Roman" w:eastAsia="宋体" w:cs="Times New Roman"/>
          <w:b w:val="0"/>
          <w:color w:val="000000"/>
          <w:sz w:val="24"/>
        </w:rPr>
        <w:t>对每个方案，根据 1000 米服务半径筛选可覆盖小区，并将小区分配给综合满意度最高的站点。</w:t>
      </w:r>
    </w:p>
    <w:p>
      <w:pPr>
        <w:pStyle w:val="ListBullet"/>
        <w:spacing w:before="40" w:after="40" w:lineRule="exact" w:line="400"/>
        <w:jc w:val="center"/>
      </w:pPr>
      <w:r>
        <w:rPr>
          <w:rFonts w:ascii="Times New Roman" w:hAnsi="Times New Roman" w:eastAsia="宋体" w:cs="Times New Roman"/>
          <w:b w:val="0"/>
          <w:i w:val="0"/>
          <w:color w:val="000000"/>
          <w:sz w:val="24"/>
        </w:rPr>
        <w:t>由分配结果计算每站日负荷率，更新响应满意度 S^r；重复迭代直到 S^r 不再变化。</w:t>
      </w:r>
    </w:p>
    <w:p>
      <w:pPr>
        <w:pStyle w:val="ListBullet"/>
        <w:spacing w:before="0" w:after="0" w:lineRule="exact" w:line="400"/>
        <w:ind w:left="480"/>
        <w:jc w:val="left"/>
      </w:pPr>
      <w:r>
        <w:rPr>
          <w:rFonts w:ascii="Times New Roman" w:hAnsi="Times New Roman" w:eastAsia="宋体" w:cs="Times New Roman"/>
          <w:b w:val="0"/>
          <w:color w:val="000000"/>
          <w:sz w:val="24"/>
        </w:rPr>
        <w:t>计算覆盖率、加权满意度、年度利润和容量利用率，按字典序选择最优方案。</w:t>
      </w:r>
    </w:p>
    <w:p>
      <w:pPr>
        <w:spacing w:before="40" w:after="40" w:lineRule="exact" w:line="400"/>
        <w:jc w:val="center"/>
      </w:pPr>
      <w:r>
        <w:rPr>
          <w:rFonts w:ascii="Times New Roman" w:hAnsi="Times New Roman" w:eastAsia="宋体" w:cs="Times New Roman"/>
          <w:b w:val="0"/>
          <w:i w:val="0"/>
          <w:color w:val="000000"/>
          <w:sz w:val="24"/>
        </w:rPr>
        <w:t>若候选点数为 n、规模数为 m、最多选 K 个点，枚举复杂度为 O(Σ_{k=1}^{K} C(n,k)m^k·T·nk)，其中 T 为响应满意度固定点迭代次数。若不限制 K，最坏复杂度约为 O((1+m)^n n^2T)。本题 n=10、m=3，因此可以直接穷举；为避免漏解，正式提交不宜过早截断候选站点。</w:t>
      </w:r>
    </w:p>
    <w:p>
      <w:pPr>
        <w:pStyle w:val="Heading2"/>
        <w:keepNext/>
        <w:spacing w:before="100" w:after="40" w:lineRule="exact" w:line="400"/>
        <w:jc w:val="left"/>
      </w:pPr>
      <w:r>
        <w:rPr>
          <w:rFonts w:ascii="Times New Roman" w:hAnsi="Times New Roman" w:cs="Times New Roman" w:eastAsia="宋体"/>
          <w:b/>
          <w:color w:val="000000"/>
          <w:sz w:val="24"/>
        </w:rPr>
        <w:t>4.3 选址、规模、覆盖与利润结果</w:t>
      </w:r>
    </w:p>
    <w:p>
      <w:pPr>
        <w:pStyle w:val="Caption"/>
        <w:keepNext/>
        <w:spacing w:before="80" w:after="60" w:lineRule="exact" w:line="360"/>
        <w:jc w:val="center"/>
      </w:pPr>
      <w:r>
        <w:rPr>
          <w:rFonts w:ascii="Times New Roman" w:hAnsi="Times New Roman" w:cs="Times New Roman" w:eastAsia="宋体"/>
          <w:b w:val="0"/>
          <w:color w:val="000000"/>
          <w:sz w:val="21"/>
        </w:rPr>
        <w:t>表10 问题二软容量意义下的选址与规模方案</w:t>
      </w:r>
    </w:p>
    <w:tbl>
      <w:tblPr>
        <w:tblStyle w:val="TableGrid"/>
        <w:tblW w:type="dxa" w:w="85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14"/>
        <w:gridCol w:w="1314"/>
        <w:gridCol w:w="1314"/>
        <w:gridCol w:w="1314"/>
        <w:gridCol w:w="1314"/>
        <w:gridCol w:w="1314"/>
        <w:gridCol w:w="1314"/>
        <w:gridCol w:w="1314"/>
      </w:tblGrid>
      <w:tr>
        <w:trPr>
          <w:tblHeader w:val="true"/>
        </w:trPr>
        <w:tc>
          <w:tcPr>
            <w:tcW w:type="dxa" w:w="1062"/>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站点</w:t>
            </w:r>
          </w:p>
        </w:tc>
        <w:tc>
          <w:tcPr>
            <w:tcW w:type="dxa" w:w="1062"/>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规模</w:t>
            </w:r>
          </w:p>
        </w:tc>
        <w:tc>
          <w:tcPr>
            <w:tcW w:type="dxa" w:w="1062"/>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分配社区</w:t>
            </w:r>
          </w:p>
        </w:tc>
        <w:tc>
          <w:tcPr>
            <w:tcW w:type="dxa" w:w="1062"/>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覆盖社区数</w:t>
            </w:r>
          </w:p>
        </w:tc>
        <w:tc>
          <w:tcPr>
            <w:tcW w:type="dxa" w:w="1062"/>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日容量</w:t>
            </w:r>
          </w:p>
        </w:tc>
        <w:tc>
          <w:tcPr>
            <w:tcW w:type="dxa" w:w="1062"/>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利用率</w:t>
            </w:r>
          </w:p>
        </w:tc>
        <w:tc>
          <w:tcPr>
            <w:tcW w:type="dxa" w:w="1062"/>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响应满意度S2</w:t>
            </w:r>
          </w:p>
        </w:tc>
        <w:tc>
          <w:tcPr>
            <w:tcW w:type="dxa" w:w="1062"/>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年度利润(万元)</w:t>
            </w:r>
          </w:p>
        </w:tc>
      </w:tr>
      <w:tr>
        <w:trPr/>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H</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小型</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D、H</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1000</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1.12</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0.60</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49.91</w:t>
            </w:r>
          </w:p>
        </w:tc>
      </w:tr>
      <w:tr>
        <w:trPr/>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J</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小型</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A、B、I、J</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4</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1000</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2.83</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0.60</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239.01</w:t>
            </w:r>
          </w:p>
        </w:tc>
      </w:tr>
      <w:tr>
        <w:trPr/>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C</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小型</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C</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1000</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1.02</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0.60</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38.73</w:t>
            </w:r>
          </w:p>
        </w:tc>
      </w:tr>
      <w:tr>
        <w:trPr/>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G</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小型</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E、F、G</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3</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1000</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2.22</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0.60</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171.21</w:t>
            </w:r>
          </w:p>
        </w:tc>
      </w:tr>
    </w:tbl>
    <w:p>
      <w:pPr>
        <w:pStyle w:val="Caption"/>
        <w:keepNext/>
        <w:spacing w:before="80" w:after="60" w:lineRule="exact" w:line="360"/>
        <w:jc w:val="center"/>
      </w:pPr>
      <w:r>
        <w:rPr>
          <w:rFonts w:ascii="Times New Roman" w:hAnsi="Times New Roman" w:cs="Times New Roman" w:eastAsia="宋体"/>
          <w:b w:val="0"/>
          <w:color w:val="000000"/>
          <w:sz w:val="21"/>
        </w:rPr>
        <w:t>表11 每个小区的服务站分配与满意度</w:t>
      </w:r>
    </w:p>
    <w:tbl>
      <w:tblPr>
        <w:tblStyle w:val="TableGrid"/>
        <w:tblW w:type="dxa" w:w="85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2"/>
        <w:gridCol w:w="1752"/>
        <w:gridCol w:w="1752"/>
        <w:gridCol w:w="1752"/>
        <w:gridCol w:w="1752"/>
        <w:gridCol w:w="1752"/>
      </w:tblGrid>
      <w:tr>
        <w:trPr>
          <w:tblHeader w:val="true"/>
        </w:trPr>
        <w:tc>
          <w:tcPr>
            <w:tcW w:type="dxa" w:w="1416"/>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小区</w:t>
            </w:r>
          </w:p>
        </w:tc>
        <w:tc>
          <w:tcPr>
            <w:tcW w:type="dxa" w:w="1416"/>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分配站点</w:t>
            </w:r>
          </w:p>
        </w:tc>
        <w:tc>
          <w:tcPr>
            <w:tcW w:type="dxa" w:w="1416"/>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距离(米)</w:t>
            </w:r>
          </w:p>
        </w:tc>
        <w:tc>
          <w:tcPr>
            <w:tcW w:type="dxa" w:w="1416"/>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距离满意度S1</w:t>
            </w:r>
          </w:p>
        </w:tc>
        <w:tc>
          <w:tcPr>
            <w:tcW w:type="dxa" w:w="1416"/>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响应满意度S2</w:t>
            </w:r>
          </w:p>
        </w:tc>
        <w:tc>
          <w:tcPr>
            <w:tcW w:type="dxa" w:w="1416"/>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社区满意度</w:t>
            </w:r>
          </w:p>
        </w:tc>
      </w:tr>
      <w:tr>
        <w:trPr/>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A</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J</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500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0.90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0.60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0.86</w:t>
            </w:r>
          </w:p>
        </w:tc>
      </w:tr>
      <w:tr>
        <w:trPr/>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B</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J</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300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1.00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0.60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0.88</w:t>
            </w:r>
          </w:p>
        </w:tc>
      </w:tr>
      <w:tr>
        <w:trPr/>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C</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C</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1.00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0.60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0.88</w:t>
            </w:r>
          </w:p>
        </w:tc>
      </w:tr>
      <w:tr>
        <w:trPr/>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D</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H</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300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1.00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0.60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0.88</w:t>
            </w:r>
          </w:p>
        </w:tc>
      </w:tr>
      <w:tr>
        <w:trPr/>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E</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G</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400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0.90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0.60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0.86</w:t>
            </w:r>
          </w:p>
        </w:tc>
      </w:tr>
      <w:tr>
        <w:trPr/>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F</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G</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500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0.90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0.60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0.86</w:t>
            </w:r>
          </w:p>
        </w:tc>
      </w:tr>
      <w:tr>
        <w:trPr/>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G</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G</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1.00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0.60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0.88</w:t>
            </w:r>
          </w:p>
        </w:tc>
      </w:tr>
      <w:tr>
        <w:trPr/>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H</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H</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1.00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0.60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0.88</w:t>
            </w:r>
          </w:p>
        </w:tc>
      </w:tr>
      <w:tr>
        <w:trPr/>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I</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J</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400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0.90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0.60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0.86</w:t>
            </w:r>
          </w:p>
        </w:tc>
      </w:tr>
      <w:tr>
        <w:trPr/>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J</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J</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1.00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0.60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0.88</w:t>
            </w:r>
          </w:p>
        </w:tc>
      </w:tr>
    </w:tbl>
    <w:p>
      <w:pPr>
        <w:keepNext/>
        <w:spacing w:before="80" w:after="60" w:lineRule="exact" w:line="360"/>
        <w:jc w:val="center"/>
      </w:pPr>
      <w:r>
        <w:rPr>
          <w:rFonts w:ascii="Times New Roman" w:hAnsi="Times New Roman" w:eastAsia="宋体" w:cs="Times New Roman"/>
          <w:b w:val="0"/>
          <w:color w:val="000000"/>
          <w:sz w:val="21"/>
        </w:rPr>
        <w:t>图3 站点覆盖关系示意</w:t>
      </w:r>
    </w:p>
    <w:p>
      <w:pPr>
        <w:jc w:val="center"/>
      </w:pPr>
      <w:r>
        <w:rPr>
          <w:color w:val="000000"/>
        </w:rPr>
        <w:drawing>
          <wp:inline xmlns:a="http://schemas.openxmlformats.org/drawingml/2006/main" xmlns:pic="http://schemas.openxmlformats.org/drawingml/2006/picture">
            <wp:extent cx="5112000" cy="3067200"/>
            <wp:docPr id="3" name="Picture 3"/>
            <wp:cNvGraphicFramePr>
              <a:graphicFrameLocks noChangeAspect="1"/>
            </wp:cNvGraphicFramePr>
            <a:graphic>
              <a:graphicData uri="http://schemas.openxmlformats.org/drawingml/2006/picture">
                <pic:pic>
                  <pic:nvPicPr>
                    <pic:cNvPr id="0" name="fig_station_plan.png"/>
                    <pic:cNvPicPr/>
                  </pic:nvPicPr>
                  <pic:blipFill>
                    <a:blip r:embed="rId12"/>
                    <a:stretch>
                      <a:fillRect/>
                    </a:stretch>
                  </pic:blipFill>
                  <pic:spPr>
                    <a:xfrm>
                      <a:off x="0" y="0"/>
                      <a:ext cx="5112000" cy="3067200"/>
                    </a:xfrm>
                    <a:prstGeom prst="rect"/>
                  </pic:spPr>
                </pic:pic>
              </a:graphicData>
            </a:graphic>
          </wp:inline>
        </w:drawing>
      </w:r>
    </w:p>
    <w:p>
      <w:pPr>
        <w:spacing w:before="40" w:after="40" w:lineRule="exact" w:line="400"/>
        <w:jc w:val="center"/>
      </w:pPr>
      <w:r>
        <w:rPr>
          <w:rFonts w:ascii="Times New Roman" w:hAnsi="Times New Roman" w:eastAsia="宋体" w:cs="Times New Roman"/>
          <w:b w:val="0"/>
          <w:i w:val="0"/>
          <w:color w:val="000000"/>
          <w:sz w:val="24"/>
        </w:rPr>
        <w:t>该方案覆盖 10 个小区，覆盖率为 100%；按第5年末老人数量加权的社区满意度为 0.8721。建设成本为 4×18=72 万元，未超过 120 万元预算。年度利润按基准价格和运营成本估算，四站合计约 498.85 万元。</w:t>
      </w:r>
    </w:p>
    <w:p>
      <w:pPr>
        <w:pStyle w:val="Caption"/>
        <w:keepNext/>
        <w:spacing w:before="80" w:after="60" w:lineRule="exact" w:line="360"/>
        <w:jc w:val="center"/>
      </w:pPr>
      <w:r>
        <w:rPr>
          <w:rFonts w:ascii="Times New Roman" w:hAnsi="Times New Roman" w:cs="Times New Roman" w:eastAsia="宋体"/>
          <w:b w:val="0"/>
          <w:color w:val="000000"/>
          <w:sz w:val="21"/>
        </w:rPr>
        <w:t>表12 容量核查：当前项目输出存在过载</w:t>
      </w:r>
    </w:p>
    <w:tbl>
      <w:tblPr>
        <w:tblStyle w:val="TableGrid"/>
        <w:tblW w:type="dxa" w:w="85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2"/>
        <w:gridCol w:w="1752"/>
        <w:gridCol w:w="1752"/>
        <w:gridCol w:w="1752"/>
        <w:gridCol w:w="1752"/>
        <w:gridCol w:w="1752"/>
      </w:tblGrid>
      <w:tr>
        <w:trPr>
          <w:tblHeader w:val="true"/>
        </w:trPr>
        <w:tc>
          <w:tcPr>
            <w:tcW w:type="dxa" w:w="1416"/>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站点</w:t>
            </w:r>
          </w:p>
        </w:tc>
        <w:tc>
          <w:tcPr>
            <w:tcW w:type="dxa" w:w="1416"/>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规模</w:t>
            </w:r>
          </w:p>
        </w:tc>
        <w:tc>
          <w:tcPr>
            <w:tcW w:type="dxa" w:w="1416"/>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日容量</w:t>
            </w:r>
          </w:p>
        </w:tc>
        <w:tc>
          <w:tcPr>
            <w:tcW w:type="dxa" w:w="1416"/>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估计日有效服务人次</w:t>
            </w:r>
          </w:p>
        </w:tc>
        <w:tc>
          <w:tcPr>
            <w:tcW w:type="dxa" w:w="1416"/>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利用率</w:t>
            </w:r>
          </w:p>
        </w:tc>
        <w:tc>
          <w:tcPr>
            <w:tcW w:type="dxa" w:w="1416"/>
            <w:vAlign w:val="center"/>
            <w:shd w:fill="D9EAF7"/>
            <w:tcMar>
              <w:top w:w="45" w:type="dxa"/>
              <w:start w:w="45" w:type="dxa"/>
              <w:bottom w:w="45" w:type="dxa"/>
              <w:end w:w="45" w:type="dxa"/>
            </w:tcMar>
          </w:tcPr>
          <w:p>
            <w:pPr>
              <w:spacing w:before="0" w:after="0" w:lineRule="exact" w:line="240"/>
              <w:jc w:val="center"/>
            </w:pPr>
            <w:r>
              <w:rPr>
                <w:rFonts w:ascii="Times New Roman" w:hAnsi="Times New Roman" w:cs="Times New Roman" w:eastAsia="宋体"/>
                <w:b/>
                <w:color w:val="000000"/>
                <w:sz w:val="17"/>
              </w:rPr>
            </w:r>
            <w:r>
              <w:rPr>
                <w:rFonts w:ascii="Times New Roman" w:hAnsi="Times New Roman" w:eastAsia="宋体" w:cs="Times New Roman"/>
                <w:b/>
                <w:color w:val="000000"/>
                <w:sz w:val="17"/>
              </w:rPr>
              <w:t>是否超过小型容量</w:t>
            </w:r>
          </w:p>
        </w:tc>
      </w:tr>
      <w:tr>
        <w:trPr/>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H</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小型</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1000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1122.90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1.12</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是</w:t>
            </w:r>
          </w:p>
        </w:tc>
      </w:tr>
      <w:tr>
        <w:trPr/>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J</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小型</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1000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2829.50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2.83</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是</w:t>
            </w:r>
          </w:p>
        </w:tc>
      </w:tr>
      <w:tr>
        <w:trPr/>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C</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小型</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1000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1015.30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1.02</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是</w:t>
            </w:r>
          </w:p>
        </w:tc>
      </w:tr>
      <w:tr>
        <w:trPr/>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G</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小型</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1000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2215.80</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2.22</w:t>
            </w:r>
          </w:p>
        </w:tc>
        <w:tc>
          <w:tcPr>
            <w:tcW w:type="dxa" w:w="1416"/>
            <w:vAlign w:val="center"/>
            <w:tcMar>
              <w:top w:w="45" w:type="dxa"/>
              <w:start w:w="45" w:type="dxa"/>
              <w:bottom w:w="45" w:type="dxa"/>
              <w:end w:w="45" w:type="dxa"/>
            </w:tcMar>
          </w:tcPr>
          <w:p>
            <w:pPr>
              <w:spacing w:before="0" w:after="0" w:lineRule="exact" w:line="240"/>
              <w:jc w:val="center"/>
            </w:pPr>
            <w:r>
              <w:rPr>
                <w:rFonts w:ascii="Times New Roman" w:hAnsi="Times New Roman" w:cs="Times New Roman" w:eastAsia="宋体"/>
                <w:b w:val="0"/>
                <w:color w:val="000000"/>
                <w:sz w:val="17"/>
              </w:rPr>
            </w:r>
            <w:r>
              <w:rPr>
                <w:rFonts w:ascii="Times New Roman" w:hAnsi="Times New Roman" w:eastAsia="宋体" w:cs="Times New Roman"/>
                <w:b w:val="0"/>
                <w:color w:val="000000"/>
                <w:sz w:val="17"/>
              </w:rPr>
              <w:t>是</w:t>
            </w:r>
          </w:p>
        </w:tc>
      </w:tr>
    </w:tbl>
    <w:p>
      <w:pPr>
        <w:keepNext/>
        <w:spacing w:before="80" w:after="60" w:lineRule="exact" w:line="360"/>
        <w:jc w:val="center"/>
      </w:pPr>
      <w:r>
        <w:rPr>
          <w:rFonts w:ascii="Times New Roman" w:hAnsi="Times New Roman" w:eastAsia="宋体" w:cs="Times New Roman"/>
          <w:b w:val="0"/>
          <w:color w:val="000000"/>
          <w:sz w:val="21"/>
        </w:rPr>
        <w:t>表12说明：若把“服务≤容量”作为硬约束，则四个小型站均不满足容量要求，尤其 J、G 两站负荷率较高。因此，表10可作为“排队会导致响应满意度下降”的软容量方案；正式工程方案需增加硬容量约束或提高站点规模，见第七节改进建议。</w:t>
      </w:r>
    </w:p>
    <w:p>
      <w:pPr>
        <w:spacing w:before="0" w:after="0" w:lineRule="exact" w:line="400"/>
        <w:ind w:firstLine="480"/>
        <w:jc w:val="both"/>
      </w:pPr>
      <w:r>
        <w:rPr>
          <w:rFonts w:ascii="Times New Roman" w:hAnsi="Times New Roman" w:eastAsia="宋体" w:cs="Times New Roman"/>
          <w:b w:val="0"/>
          <w:color w:val="000000"/>
          <w:sz w:val="24"/>
        </w:rPr>
        <w:t>模型局限性主要有：第一，老人只选择单一最满意站点，忽略多站互补和跨服务选择；第二，满意度函数为分段线性/离散打分，不能反映真实出行时间、天气、电梯和交通拥堵；第三，服务站能力只用总人次衡量，未细分护理人员、助浴设备、康复床位等专用资源；第四，消费约束按类型同比例折减，可能低估紧急救助和护理等刚性需求。改进方向是建立多资源容量、排队等待和随机需求共同作用的鲁棒多目标模型。</w:t>
      </w:r>
    </w:p>
    <w:p>
      <w:pPr>
        <w:pStyle w:val="Heading1"/>
        <w:keepNext/>
        <w:spacing w:before="160" w:after="80" w:lineRule="exact" w:line="400"/>
        <w:jc w:val="left"/>
      </w:pPr>
      <w:r>
        <w:rPr>
          <w:rFonts w:ascii="Times New Roman" w:hAnsi="Times New Roman" w:cs="Times New Roman" w:eastAsia="宋体"/>
          <w:b/>
          <w:color w:val="000000"/>
          <w:sz w:val="24"/>
        </w:rPr>
        <w:t>五、问题三：服务定价与政府补贴优化</w:t>
      </w:r>
    </w:p>
    <w:p>
      <w:pPr>
        <w:pStyle w:val="Heading2"/>
        <w:keepNext/>
        <w:spacing w:before="100" w:after="40" w:lineRule="exact" w:line="400"/>
        <w:jc w:val="left"/>
      </w:pPr>
      <w:r>
        <w:rPr>
          <w:rFonts w:ascii="Times New Roman" w:hAnsi="Times New Roman" w:cs="Times New Roman" w:eastAsia="宋体"/>
          <w:b/>
          <w:color w:val="000000"/>
          <w:sz w:val="24"/>
        </w:rPr>
        <w:t>5.1 定价和补贴优化模型</w:t>
      </w:r>
    </w:p>
    <w:p>
      <w:pPr>
        <w:spacing w:before="0" w:after="0" w:lineRule="exact" w:line="400"/>
        <w:ind w:firstLine="480"/>
        <w:jc w:val="both"/>
      </w:pPr>
      <w:r>
        <w:rPr>
          <w:rFonts w:ascii="Times New Roman" w:hAnsi="Times New Roman" w:eastAsia="宋体" w:cs="Times New Roman"/>
          <w:b w:val="0"/>
          <w:color w:val="000000"/>
          <w:sz w:val="24"/>
        </w:rPr>
        <w:t>在问题二站点位置和规模给定后，允许每个服务站对六项服务自主定价，以最大化老人满意度为目标，同时保证养老机构保本微利、利润率不超过 8%。</w:t>
      </w:r>
    </w:p>
    <w:p>
      <w:pPr>
        <w:pStyle w:val="EquationText"/>
        <w:spacing w:before="40" w:after="40" w:lineRule="exact" w:line="400"/>
        <w:jc w:val="center"/>
      </w:pPr>
      <w:r>
        <w:rPr>
          <w:rFonts w:ascii="Times New Roman" w:hAnsi="Times New Roman" w:cs="Times New Roman" w:eastAsia="宋体"/>
          <w:b w:val="0"/>
          <w:i w:val="0"/>
          <w:color w:val="000000"/>
          <w:sz w:val="24"/>
        </w:rPr>
        <w:t>max  Σ_i N_i S_i(p) / Σ_i N_i</w:t>
      </w:r>
    </w:p>
    <w:p>
      <w:pPr>
        <w:pStyle w:val="EquationText"/>
        <w:spacing w:before="40" w:after="40" w:lineRule="exact" w:line="400"/>
        <w:jc w:val="center"/>
      </w:pPr>
      <w:r>
        <w:rPr>
          <w:rFonts w:ascii="Times New Roman" w:hAnsi="Times New Roman" w:cs="Times New Roman" w:eastAsia="宋体"/>
          <w:b w:val="0"/>
          <w:i w:val="0"/>
          <w:color w:val="000000"/>
          <w:sz w:val="24"/>
        </w:rPr>
        <w:t>Subsidy_j = min(2 × AnnualEffectiveNonEmergency_j,  DailyCap_s × 365)</w:t>
      </w:r>
    </w:p>
    <w:p>
      <w:pPr>
        <w:pStyle w:val="EquationText"/>
        <w:spacing w:before="40" w:after="40" w:lineRule="exact" w:line="400"/>
        <w:jc w:val="center"/>
      </w:pPr>
      <w:r>
        <w:rPr>
          <w:rFonts w:ascii="Times New Roman" w:hAnsi="Times New Roman" w:cs="Times New Roman" w:eastAsia="宋体"/>
          <w:b w:val="0"/>
          <w:i w:val="0"/>
          <w:color w:val="000000"/>
          <w:sz w:val="24"/>
        </w:rPr>
        <w:t>Rate_j = [ServiceProfit_j + Subsidy_j - OperatingCost_j] / OperatingCost_j × 100% ≤ 8%</w:t>
      </w:r>
    </w:p>
    <w:p>
      <w:pPr>
        <w:pStyle w:val="EquationText"/>
        <w:spacing w:before="40" w:after="40" w:lineRule="exact" w:line="400"/>
        <w:jc w:val="center"/>
      </w:pPr>
      <w:r>
        <w:rPr>
          <w:rFonts w:ascii="Times New Roman" w:hAnsi="Times New Roman" w:cs="Times New Roman" w:eastAsia="宋体"/>
          <w:b w:val="0"/>
          <w:i w:val="0"/>
          <w:color w:val="000000"/>
          <w:sz w:val="24"/>
        </w:rPr>
        <w:t>紧急救助价格 p_{j,紧急救助}=0，且不计人次补贴。</w:t>
      </w:r>
    </w:p>
    <w:p>
      <w:pPr>
        <w:spacing w:before="40" w:after="40" w:lineRule="exact" w:line="400"/>
        <w:jc w:val="center"/>
      </w:pPr>
      <w:r>
        <w:rPr>
          <w:rFonts w:ascii="Times New Roman" w:hAnsi="Times New Roman" w:eastAsia="宋体" w:cs="Times New Roman"/>
          <w:b w:val="0"/>
          <w:i w:val="0"/>
          <w:color w:val="000000"/>
          <w:sz w:val="24"/>
        </w:rPr>
        <w:t>价格满意度 S^p 按附件评分规则分段给出。为兼顾可及性和可持续经营，模型在价格候选集上搜索，并将利润率大于 8% 的方案判为不可行；若多个方案可行，选择老人加权满意度最高者。</w:t>
      </w:r>
    </w:p>
    <w:p>
      <w:pPr>
        <w:pStyle w:val="Heading2"/>
        <w:keepNext/>
        <w:spacing w:before="100" w:after="40" w:lineRule="exact" w:line="400"/>
        <w:jc w:val="left"/>
      </w:pPr>
      <w:r>
        <w:rPr>
          <w:rFonts w:ascii="Times New Roman" w:hAnsi="Times New Roman" w:cs="Times New Roman" w:eastAsia="宋体"/>
          <w:b/>
          <w:color w:val="000000"/>
          <w:sz w:val="24"/>
        </w:rPr>
        <w:t>5.2 最优定价、年度利润和利润率</w:t>
      </w:r>
    </w:p>
    <w:p>
      <w:pPr>
        <w:pStyle w:val="Caption"/>
        <w:keepNext/>
        <w:spacing w:before="80" w:after="60" w:lineRule="exact" w:line="360"/>
        <w:jc w:val="center"/>
      </w:pPr>
      <w:r>
        <w:rPr>
          <w:rFonts w:ascii="Times New Roman" w:hAnsi="Times New Roman" w:cs="Times New Roman" w:eastAsia="宋体"/>
          <w:b w:val="0"/>
          <w:color w:val="000000"/>
          <w:sz w:val="21"/>
        </w:rPr>
        <w:t>表13 问题三各站最优定价与经济指标</w:t>
      </w:r>
    </w:p>
    <w:tbl>
      <w:tblPr>
        <w:tblStyle w:val="TableGrid"/>
        <w:tblW w:type="dxa" w:w="85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51"/>
        <w:gridCol w:w="751"/>
        <w:gridCol w:w="751"/>
        <w:gridCol w:w="751"/>
        <w:gridCol w:w="751"/>
        <w:gridCol w:w="751"/>
        <w:gridCol w:w="751"/>
        <w:gridCol w:w="751"/>
        <w:gridCol w:w="751"/>
        <w:gridCol w:w="751"/>
        <w:gridCol w:w="751"/>
        <w:gridCol w:w="751"/>
        <w:gridCol w:w="751"/>
        <w:gridCol w:w="751"/>
      </w:tblGrid>
      <w:tr>
        <w:trPr>
          <w:tblHeader w:val="true"/>
        </w:trPr>
        <w:tc>
          <w:tcPr>
            <w:tcW w:type="dxa" w:w="607"/>
            <w:vAlign w:val="center"/>
            <w:shd w:fill="D9EAF7"/>
            <w:tcMar>
              <w:top w:w="18" w:type="dxa"/>
              <w:start w:w="18" w:type="dxa"/>
              <w:bottom w:w="18" w:type="dxa"/>
              <w:end w:w="18" w:type="dxa"/>
            </w:tcMar>
          </w:tcPr>
          <w:p>
            <w:pPr>
              <w:spacing w:before="0" w:after="0" w:lineRule="exact" w:line="160"/>
              <w:jc w:val="center"/>
            </w:pPr>
            <w:r>
              <w:rPr>
                <w:rFonts w:ascii="Times New Roman" w:hAnsi="Times New Roman" w:cs="Times New Roman" w:eastAsia="宋体"/>
                <w:b/>
                <w:color w:val="000000"/>
                <w:sz w:val="12"/>
              </w:rPr>
            </w:r>
            <w:r>
              <w:rPr>
                <w:rFonts w:ascii="Times New Roman" w:hAnsi="Times New Roman" w:eastAsia="宋体" w:cs="Times New Roman"/>
                <w:b/>
                <w:color w:val="000000"/>
                <w:sz w:val="12"/>
              </w:rPr>
              <w:t>站点</w:t>
            </w:r>
          </w:p>
        </w:tc>
        <w:tc>
          <w:tcPr>
            <w:tcW w:type="dxa" w:w="607"/>
            <w:vAlign w:val="center"/>
            <w:shd w:fill="D9EAF7"/>
            <w:tcMar>
              <w:top w:w="18" w:type="dxa"/>
              <w:start w:w="18" w:type="dxa"/>
              <w:bottom w:w="18" w:type="dxa"/>
              <w:end w:w="18" w:type="dxa"/>
            </w:tcMar>
          </w:tcPr>
          <w:p>
            <w:pPr>
              <w:spacing w:before="0" w:after="0" w:lineRule="exact" w:line="160"/>
              <w:jc w:val="center"/>
            </w:pPr>
            <w:r>
              <w:rPr>
                <w:rFonts w:ascii="Times New Roman" w:hAnsi="Times New Roman" w:cs="Times New Roman" w:eastAsia="宋体"/>
                <w:b/>
                <w:color w:val="000000"/>
                <w:sz w:val="12"/>
              </w:rPr>
            </w:r>
            <w:r>
              <w:rPr>
                <w:rFonts w:ascii="Times New Roman" w:hAnsi="Times New Roman" w:eastAsia="宋体" w:cs="Times New Roman"/>
                <w:b/>
                <w:color w:val="000000"/>
                <w:sz w:val="12"/>
              </w:rPr>
              <w:t>规模</w:t>
            </w:r>
          </w:p>
        </w:tc>
        <w:tc>
          <w:tcPr>
            <w:tcW w:type="dxa" w:w="607"/>
            <w:vAlign w:val="center"/>
            <w:shd w:fill="D9EAF7"/>
            <w:tcMar>
              <w:top w:w="18" w:type="dxa"/>
              <w:start w:w="18" w:type="dxa"/>
              <w:bottom w:w="18" w:type="dxa"/>
              <w:end w:w="18" w:type="dxa"/>
            </w:tcMar>
          </w:tcPr>
          <w:p>
            <w:pPr>
              <w:spacing w:before="0" w:after="0" w:lineRule="exact" w:line="160"/>
              <w:jc w:val="center"/>
            </w:pPr>
            <w:r>
              <w:rPr>
                <w:rFonts w:ascii="Times New Roman" w:hAnsi="Times New Roman" w:cs="Times New Roman" w:eastAsia="宋体"/>
                <w:b/>
                <w:color w:val="000000"/>
                <w:sz w:val="12"/>
              </w:rPr>
            </w:r>
            <w:r>
              <w:rPr>
                <w:rFonts w:ascii="Times New Roman" w:hAnsi="Times New Roman" w:eastAsia="宋体" w:cs="Times New Roman"/>
                <w:b/>
                <w:color w:val="000000"/>
                <w:sz w:val="12"/>
              </w:rPr>
              <w:t>助餐</w:t>
            </w:r>
          </w:p>
        </w:tc>
        <w:tc>
          <w:tcPr>
            <w:tcW w:type="dxa" w:w="607"/>
            <w:vAlign w:val="center"/>
            <w:shd w:fill="D9EAF7"/>
            <w:tcMar>
              <w:top w:w="18" w:type="dxa"/>
              <w:start w:w="18" w:type="dxa"/>
              <w:bottom w:w="18" w:type="dxa"/>
              <w:end w:w="18" w:type="dxa"/>
            </w:tcMar>
          </w:tcPr>
          <w:p>
            <w:pPr>
              <w:spacing w:before="0" w:after="0" w:lineRule="exact" w:line="160"/>
              <w:jc w:val="center"/>
            </w:pPr>
            <w:r>
              <w:rPr>
                <w:rFonts w:ascii="Times New Roman" w:hAnsi="Times New Roman" w:cs="Times New Roman" w:eastAsia="宋体"/>
                <w:b/>
                <w:color w:val="000000"/>
                <w:sz w:val="12"/>
              </w:rPr>
            </w:r>
            <w:r>
              <w:rPr>
                <w:rFonts w:ascii="Times New Roman" w:hAnsi="Times New Roman" w:eastAsia="宋体" w:cs="Times New Roman"/>
                <w:b/>
                <w:color w:val="000000"/>
                <w:sz w:val="12"/>
              </w:rPr>
              <w:t>日间照料</w:t>
            </w:r>
          </w:p>
        </w:tc>
        <w:tc>
          <w:tcPr>
            <w:tcW w:type="dxa" w:w="607"/>
            <w:vAlign w:val="center"/>
            <w:shd w:fill="D9EAF7"/>
            <w:tcMar>
              <w:top w:w="18" w:type="dxa"/>
              <w:start w:w="18" w:type="dxa"/>
              <w:bottom w:w="18" w:type="dxa"/>
              <w:end w:w="18" w:type="dxa"/>
            </w:tcMar>
          </w:tcPr>
          <w:p>
            <w:pPr>
              <w:spacing w:before="0" w:after="0" w:lineRule="exact" w:line="160"/>
              <w:jc w:val="center"/>
            </w:pPr>
            <w:r>
              <w:rPr>
                <w:rFonts w:ascii="Times New Roman" w:hAnsi="Times New Roman" w:cs="Times New Roman" w:eastAsia="宋体"/>
                <w:b/>
                <w:color w:val="000000"/>
                <w:sz w:val="12"/>
              </w:rPr>
            </w:r>
            <w:r>
              <w:rPr>
                <w:rFonts w:ascii="Times New Roman" w:hAnsi="Times New Roman" w:eastAsia="宋体" w:cs="Times New Roman"/>
                <w:b/>
                <w:color w:val="000000"/>
                <w:sz w:val="12"/>
              </w:rPr>
              <w:t>上门护理</w:t>
            </w:r>
          </w:p>
        </w:tc>
        <w:tc>
          <w:tcPr>
            <w:tcW w:type="dxa" w:w="607"/>
            <w:vAlign w:val="center"/>
            <w:shd w:fill="D9EAF7"/>
            <w:tcMar>
              <w:top w:w="18" w:type="dxa"/>
              <w:start w:w="18" w:type="dxa"/>
              <w:bottom w:w="18" w:type="dxa"/>
              <w:end w:w="18" w:type="dxa"/>
            </w:tcMar>
          </w:tcPr>
          <w:p>
            <w:pPr>
              <w:spacing w:before="0" w:after="0" w:lineRule="exact" w:line="160"/>
              <w:jc w:val="center"/>
            </w:pPr>
            <w:r>
              <w:rPr>
                <w:rFonts w:ascii="Times New Roman" w:hAnsi="Times New Roman" w:cs="Times New Roman" w:eastAsia="宋体"/>
                <w:b/>
                <w:color w:val="000000"/>
                <w:sz w:val="12"/>
              </w:rPr>
            </w:r>
            <w:r>
              <w:rPr>
                <w:rFonts w:ascii="Times New Roman" w:hAnsi="Times New Roman" w:eastAsia="宋体" w:cs="Times New Roman"/>
                <w:b/>
                <w:color w:val="000000"/>
                <w:sz w:val="12"/>
              </w:rPr>
              <w:t>康复理疗</w:t>
            </w:r>
          </w:p>
        </w:tc>
        <w:tc>
          <w:tcPr>
            <w:tcW w:type="dxa" w:w="607"/>
            <w:vAlign w:val="center"/>
            <w:shd w:fill="D9EAF7"/>
            <w:tcMar>
              <w:top w:w="18" w:type="dxa"/>
              <w:start w:w="18" w:type="dxa"/>
              <w:bottom w:w="18" w:type="dxa"/>
              <w:end w:w="18" w:type="dxa"/>
            </w:tcMar>
          </w:tcPr>
          <w:p>
            <w:pPr>
              <w:spacing w:before="0" w:after="0" w:lineRule="exact" w:line="160"/>
              <w:jc w:val="center"/>
            </w:pPr>
            <w:r>
              <w:rPr>
                <w:rFonts w:ascii="Times New Roman" w:hAnsi="Times New Roman" w:cs="Times New Roman" w:eastAsia="宋体"/>
                <w:b/>
                <w:color w:val="000000"/>
                <w:sz w:val="12"/>
              </w:rPr>
            </w:r>
            <w:r>
              <w:rPr>
                <w:rFonts w:ascii="Times New Roman" w:hAnsi="Times New Roman" w:eastAsia="宋体" w:cs="Times New Roman"/>
                <w:b/>
                <w:color w:val="000000"/>
                <w:sz w:val="12"/>
              </w:rPr>
              <w:t>助浴</w:t>
            </w:r>
          </w:p>
        </w:tc>
        <w:tc>
          <w:tcPr>
            <w:tcW w:type="dxa" w:w="607"/>
            <w:vAlign w:val="center"/>
            <w:shd w:fill="D9EAF7"/>
            <w:tcMar>
              <w:top w:w="18" w:type="dxa"/>
              <w:start w:w="18" w:type="dxa"/>
              <w:bottom w:w="18" w:type="dxa"/>
              <w:end w:w="18" w:type="dxa"/>
            </w:tcMar>
          </w:tcPr>
          <w:p>
            <w:pPr>
              <w:spacing w:before="0" w:after="0" w:lineRule="exact" w:line="160"/>
              <w:jc w:val="center"/>
            </w:pPr>
            <w:r>
              <w:rPr>
                <w:rFonts w:ascii="Times New Roman" w:hAnsi="Times New Roman" w:cs="Times New Roman" w:eastAsia="宋体"/>
                <w:b/>
                <w:color w:val="000000"/>
                <w:sz w:val="12"/>
              </w:rPr>
            </w:r>
            <w:r>
              <w:rPr>
                <w:rFonts w:ascii="Times New Roman" w:hAnsi="Times New Roman" w:eastAsia="宋体" w:cs="Times New Roman"/>
                <w:b/>
                <w:color w:val="000000"/>
                <w:sz w:val="12"/>
              </w:rPr>
              <w:t>紧急救助</w:t>
            </w:r>
          </w:p>
        </w:tc>
        <w:tc>
          <w:tcPr>
            <w:tcW w:type="dxa" w:w="607"/>
            <w:vAlign w:val="center"/>
            <w:shd w:fill="D9EAF7"/>
            <w:tcMar>
              <w:top w:w="18" w:type="dxa"/>
              <w:start w:w="18" w:type="dxa"/>
              <w:bottom w:w="18" w:type="dxa"/>
              <w:end w:w="18" w:type="dxa"/>
            </w:tcMar>
          </w:tcPr>
          <w:p>
            <w:pPr>
              <w:spacing w:before="0" w:after="0" w:lineRule="exact" w:line="160"/>
              <w:jc w:val="center"/>
            </w:pPr>
            <w:r>
              <w:rPr>
                <w:rFonts w:ascii="Times New Roman" w:hAnsi="Times New Roman" w:cs="Times New Roman" w:eastAsia="宋体"/>
                <w:b/>
                <w:color w:val="000000"/>
                <w:sz w:val="12"/>
              </w:rPr>
            </w:r>
            <w:r>
              <w:rPr>
                <w:rFonts w:ascii="Times New Roman" w:hAnsi="Times New Roman" w:eastAsia="宋体" w:cs="Times New Roman"/>
                <w:b/>
                <w:color w:val="000000"/>
                <w:sz w:val="12"/>
              </w:rPr>
              <w:t>响应满意度S2</w:t>
            </w:r>
          </w:p>
        </w:tc>
        <w:tc>
          <w:tcPr>
            <w:tcW w:type="dxa" w:w="607"/>
            <w:vAlign w:val="center"/>
            <w:shd w:fill="D9EAF7"/>
            <w:tcMar>
              <w:top w:w="18" w:type="dxa"/>
              <w:start w:w="18" w:type="dxa"/>
              <w:bottom w:w="18" w:type="dxa"/>
              <w:end w:w="18" w:type="dxa"/>
            </w:tcMar>
          </w:tcPr>
          <w:p>
            <w:pPr>
              <w:spacing w:before="0" w:after="0" w:lineRule="exact" w:line="160"/>
              <w:jc w:val="center"/>
            </w:pPr>
            <w:r>
              <w:rPr>
                <w:rFonts w:ascii="Times New Roman" w:hAnsi="Times New Roman" w:cs="Times New Roman" w:eastAsia="宋体"/>
                <w:b/>
                <w:color w:val="000000"/>
                <w:sz w:val="12"/>
              </w:rPr>
            </w:r>
            <w:r>
              <w:rPr>
                <w:rFonts w:ascii="Times New Roman" w:hAnsi="Times New Roman" w:eastAsia="宋体" w:cs="Times New Roman"/>
                <w:b/>
                <w:color w:val="000000"/>
                <w:sz w:val="12"/>
              </w:rPr>
              <w:t>平均满意度</w:t>
            </w:r>
          </w:p>
        </w:tc>
        <w:tc>
          <w:tcPr>
            <w:tcW w:type="dxa" w:w="607"/>
            <w:vAlign w:val="center"/>
            <w:shd w:fill="D9EAF7"/>
            <w:tcMar>
              <w:top w:w="18" w:type="dxa"/>
              <w:start w:w="18" w:type="dxa"/>
              <w:bottom w:w="18" w:type="dxa"/>
              <w:end w:w="18" w:type="dxa"/>
            </w:tcMar>
          </w:tcPr>
          <w:p>
            <w:pPr>
              <w:spacing w:before="0" w:after="0" w:lineRule="exact" w:line="160"/>
              <w:jc w:val="center"/>
            </w:pPr>
            <w:r>
              <w:rPr>
                <w:rFonts w:ascii="Times New Roman" w:hAnsi="Times New Roman" w:cs="Times New Roman" w:eastAsia="宋体"/>
                <w:b/>
                <w:color w:val="000000"/>
                <w:sz w:val="12"/>
              </w:rPr>
            </w:r>
            <w:r>
              <w:rPr>
                <w:rFonts w:ascii="Times New Roman" w:hAnsi="Times New Roman" w:eastAsia="宋体" w:cs="Times New Roman"/>
                <w:b/>
                <w:color w:val="000000"/>
                <w:sz w:val="12"/>
              </w:rPr>
              <w:t>利润率(%)</w:t>
            </w:r>
          </w:p>
        </w:tc>
        <w:tc>
          <w:tcPr>
            <w:tcW w:type="dxa" w:w="607"/>
            <w:vAlign w:val="center"/>
            <w:shd w:fill="D9EAF7"/>
            <w:tcMar>
              <w:top w:w="18" w:type="dxa"/>
              <w:start w:w="18" w:type="dxa"/>
              <w:bottom w:w="18" w:type="dxa"/>
              <w:end w:w="18" w:type="dxa"/>
            </w:tcMar>
          </w:tcPr>
          <w:p>
            <w:pPr>
              <w:spacing w:before="0" w:after="0" w:lineRule="exact" w:line="160"/>
              <w:jc w:val="center"/>
            </w:pPr>
            <w:r>
              <w:rPr>
                <w:rFonts w:ascii="Times New Roman" w:hAnsi="Times New Roman" w:cs="Times New Roman" w:eastAsia="宋体"/>
                <w:b/>
                <w:color w:val="000000"/>
                <w:sz w:val="12"/>
              </w:rPr>
            </w:r>
            <w:r>
              <w:rPr>
                <w:rFonts w:ascii="Times New Roman" w:hAnsi="Times New Roman" w:eastAsia="宋体" w:cs="Times New Roman"/>
                <w:b/>
                <w:color w:val="000000"/>
                <w:sz w:val="12"/>
              </w:rPr>
              <w:t>政府补贴(万元)</w:t>
            </w:r>
          </w:p>
        </w:tc>
        <w:tc>
          <w:tcPr>
            <w:tcW w:type="dxa" w:w="607"/>
            <w:vAlign w:val="center"/>
            <w:shd w:fill="D9EAF7"/>
            <w:tcMar>
              <w:top w:w="18" w:type="dxa"/>
              <w:start w:w="18" w:type="dxa"/>
              <w:bottom w:w="18" w:type="dxa"/>
              <w:end w:w="18" w:type="dxa"/>
            </w:tcMar>
          </w:tcPr>
          <w:p>
            <w:pPr>
              <w:spacing w:before="0" w:after="0" w:lineRule="exact" w:line="160"/>
              <w:jc w:val="center"/>
            </w:pPr>
            <w:r>
              <w:rPr>
                <w:rFonts w:ascii="Times New Roman" w:hAnsi="Times New Roman" w:cs="Times New Roman" w:eastAsia="宋体"/>
                <w:b/>
                <w:color w:val="000000"/>
                <w:sz w:val="12"/>
              </w:rPr>
            </w:r>
            <w:r>
              <w:rPr>
                <w:rFonts w:ascii="Times New Roman" w:hAnsi="Times New Roman" w:eastAsia="宋体" w:cs="Times New Roman"/>
                <w:b/>
                <w:color w:val="000000"/>
                <w:sz w:val="12"/>
              </w:rPr>
              <w:t>年运营成本(万元)</w:t>
            </w:r>
          </w:p>
        </w:tc>
        <w:tc>
          <w:tcPr>
            <w:tcW w:type="dxa" w:w="607"/>
            <w:vAlign w:val="center"/>
            <w:shd w:fill="D9EAF7"/>
            <w:tcMar>
              <w:top w:w="18" w:type="dxa"/>
              <w:start w:w="18" w:type="dxa"/>
              <w:bottom w:w="18" w:type="dxa"/>
              <w:end w:w="18" w:type="dxa"/>
            </w:tcMar>
          </w:tcPr>
          <w:p>
            <w:pPr>
              <w:spacing w:before="0" w:after="0" w:lineRule="exact" w:line="160"/>
              <w:jc w:val="center"/>
            </w:pPr>
            <w:r>
              <w:rPr>
                <w:rFonts w:ascii="Times New Roman" w:hAnsi="Times New Roman" w:cs="Times New Roman" w:eastAsia="宋体"/>
                <w:b/>
                <w:color w:val="000000"/>
                <w:sz w:val="12"/>
              </w:rPr>
            </w:r>
            <w:r>
              <w:rPr>
                <w:rFonts w:ascii="Times New Roman" w:hAnsi="Times New Roman" w:eastAsia="宋体" w:cs="Times New Roman"/>
                <w:b/>
                <w:color w:val="000000"/>
                <w:sz w:val="12"/>
              </w:rPr>
              <w:t>年度利润(万元)</w:t>
            </w:r>
          </w:p>
        </w:tc>
      </w:tr>
      <w:tr>
        <w:trPr/>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H</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小型</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11.00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21.00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45.00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30.80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37.50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0.00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0.60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0.82</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1.9000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8.37</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73.90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1.41</w:t>
            </w:r>
          </w:p>
        </w:tc>
      </w:tr>
      <w:tr>
        <w:trPr/>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J</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小型</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10.00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20.00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30.00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25.20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22.50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0.00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0.60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0.87</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6.3100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8.38</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73.90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4.66</w:t>
            </w:r>
          </w:p>
        </w:tc>
      </w:tr>
      <w:tr>
        <w:trPr/>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C</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小型</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11.00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23.00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45.00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29.40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25.00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0.00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0.72</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0.86</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6.8400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9.67</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73.90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5.06</w:t>
            </w:r>
          </w:p>
        </w:tc>
      </w:tr>
      <w:tr>
        <w:trPr/>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G</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小型</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10.00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20.00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30.00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28.00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27.50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0.00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0.60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0.86</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3.1100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8.64</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73.90</w:t>
            </w:r>
          </w:p>
        </w:tc>
        <w:tc>
          <w:tcPr>
            <w:tcW w:type="dxa" w:w="607"/>
            <w:vAlign w:val="center"/>
            <w:tcMar>
              <w:top w:w="18" w:type="dxa"/>
              <w:start w:w="18" w:type="dxa"/>
              <w:bottom w:w="18" w:type="dxa"/>
              <w:end w:w="18" w:type="dxa"/>
            </w:tcMar>
          </w:tcPr>
          <w:p>
            <w:pPr>
              <w:spacing w:before="0" w:after="0" w:lineRule="exact" w:line="160"/>
              <w:jc w:val="center"/>
            </w:pPr>
            <w:r>
              <w:rPr>
                <w:rFonts w:ascii="Times New Roman" w:hAnsi="Times New Roman" w:cs="Times New Roman" w:eastAsia="宋体"/>
                <w:b w:val="0"/>
                <w:color w:val="000000"/>
                <w:sz w:val="12"/>
              </w:rPr>
            </w:r>
            <w:r>
              <w:rPr>
                <w:rFonts w:ascii="Times New Roman" w:hAnsi="Times New Roman" w:eastAsia="宋体" w:cs="Times New Roman"/>
                <w:b w:val="0"/>
                <w:color w:val="000000"/>
                <w:sz w:val="12"/>
              </w:rPr>
              <w:t>2.29</w:t>
            </w:r>
          </w:p>
        </w:tc>
      </w:tr>
    </w:tbl>
    <w:p>
      <w:pPr>
        <w:spacing w:before="0" w:after="0" w:lineRule="exact" w:line="400"/>
        <w:ind w:firstLine="480"/>
        <w:jc w:val="both"/>
      </w:pPr>
      <w:r>
        <w:rPr>
          <w:rFonts w:ascii="Times New Roman" w:hAnsi="Times New Roman" w:eastAsia="宋体" w:cs="Times New Roman"/>
          <w:b w:val="0"/>
          <w:color w:val="000000"/>
          <w:sz w:val="24"/>
        </w:rPr>
        <w:t>四个服务站的年度政府补贴合计约 35.07 万元，年度利润合计约 13.42 万元，综合利润率约 4.54%，满足利润率不超过 8% 的要求。</w:t>
      </w:r>
    </w:p>
    <w:p>
      <w:pPr>
        <w:pStyle w:val="Caption"/>
        <w:keepNext/>
        <w:spacing w:before="80" w:after="60" w:lineRule="exact" w:line="360"/>
        <w:jc w:val="center"/>
      </w:pPr>
      <w:r>
        <w:rPr>
          <w:rFonts w:ascii="Times New Roman" w:hAnsi="Times New Roman" w:cs="Times New Roman" w:eastAsia="宋体"/>
          <w:b w:val="0"/>
          <w:color w:val="000000"/>
          <w:sz w:val="21"/>
        </w:rPr>
        <w:t>表14 问题三每个小区满意度及价格满意度</w:t>
      </w:r>
    </w:p>
    <w:tbl>
      <w:tblPr>
        <w:tblStyle w:val="TableGrid"/>
        <w:tblW w:type="dxa" w:w="85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2"/>
        <w:gridCol w:w="1502"/>
        <w:gridCol w:w="1502"/>
        <w:gridCol w:w="1502"/>
        <w:gridCol w:w="1502"/>
        <w:gridCol w:w="1502"/>
        <w:gridCol w:w="1502"/>
      </w:tblGrid>
      <w:tr>
        <w:trPr>
          <w:tblHeader w:val="true"/>
        </w:trPr>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站点</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小区</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距离(米)</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距离满意度S1</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响应满意度S2</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价格满意度S3</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社区满意度</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H</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D</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300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0.60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0.89</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0.82</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H</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H</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0.60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0.89</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0.82</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J</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A</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500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0.60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0.86</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J</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B</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300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0.60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0.88</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J</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I</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400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0.60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0.86</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J</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J</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0.60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0.88</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C</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C</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0.72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0.88</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0.86</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G</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E</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400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0.60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0.99</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0.86</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G</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F</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500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0.60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0.99</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0.86</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G</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G</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0.60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0.99</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0.88</w:t>
            </w:r>
          </w:p>
        </w:tc>
      </w:tr>
    </w:tbl>
    <w:p>
      <w:pPr>
        <w:spacing w:before="0" w:after="0" w:lineRule="exact" w:line="400"/>
        <w:ind w:firstLine="480"/>
        <w:jc w:val="both"/>
      </w:pPr>
      <w:r>
        <w:rPr>
          <w:rFonts w:ascii="Times New Roman" w:hAnsi="Times New Roman" w:eastAsia="宋体" w:cs="Times New Roman"/>
          <w:b w:val="0"/>
          <w:color w:val="000000"/>
          <w:sz w:val="24"/>
        </w:rPr>
        <w:t>定价后按老人数量加权的社区满意度为 0.8590。J 站采用部分降价，价格满意度为 1；C、H 两站因提高高护理服务价格，价格满意度约 0.884～0.887；G 站仅助浴小幅提价，价格满意度约 0.994。</w:t>
      </w:r>
    </w:p>
    <w:p>
      <w:pPr>
        <w:pStyle w:val="Heading2"/>
        <w:keepNext/>
        <w:spacing w:before="100" w:after="40" w:lineRule="exact" w:line="400"/>
        <w:jc w:val="left"/>
      </w:pPr>
      <w:r>
        <w:rPr>
          <w:rFonts w:ascii="Times New Roman" w:hAnsi="Times New Roman" w:cs="Times New Roman" w:eastAsia="宋体"/>
          <w:b/>
          <w:color w:val="000000"/>
          <w:sz w:val="24"/>
        </w:rPr>
        <w:t>5.3 定价与补贴对不同类型老人可及性的影响</w:t>
      </w:r>
    </w:p>
    <w:p>
      <w:pPr>
        <w:pStyle w:val="ListBullet"/>
        <w:spacing w:before="0" w:after="0" w:lineRule="exact" w:line="400"/>
        <w:ind w:left="480"/>
        <w:jc w:val="left"/>
      </w:pPr>
      <w:r>
        <w:rPr>
          <w:rFonts w:ascii="Times New Roman" w:hAnsi="Times New Roman" w:eastAsia="宋体" w:cs="Times New Roman"/>
          <w:b w:val="0"/>
          <w:color w:val="000000"/>
          <w:sz w:val="24"/>
        </w:rPr>
        <w:t>自理老人：主要需求集中在助餐、日间照料和少量康复理疗，单次价格低、消费上限约束弱，因此价格变化对其可及性影响较小；距离和响应速度对体验更关键。</w:t>
      </w:r>
    </w:p>
    <w:p>
      <w:pPr>
        <w:pStyle w:val="ListBullet"/>
        <w:spacing w:before="0" w:after="0" w:lineRule="exact" w:line="400"/>
        <w:ind w:left="480"/>
        <w:jc w:val="left"/>
      </w:pPr>
      <w:r>
        <w:rPr>
          <w:rFonts w:ascii="Times New Roman" w:hAnsi="Times New Roman" w:eastAsia="宋体" w:cs="Times New Roman"/>
          <w:b w:val="0"/>
          <w:color w:val="000000"/>
          <w:sz w:val="24"/>
        </w:rPr>
        <w:t>半失能老人：开始产生上门护理、助浴和紧急救助需求，服务组合更复杂。补贴可以降低高频非紧急服务的实际负担，但若上门护理价格上升过快，仍会挤出康复理疗和助浴。</w:t>
      </w:r>
    </w:p>
    <w:p>
      <w:pPr>
        <w:pStyle w:val="ListBullet"/>
        <w:spacing w:before="0" w:after="0" w:lineRule="exact" w:line="400"/>
        <w:ind w:left="480"/>
        <w:jc w:val="left"/>
      </w:pPr>
      <w:r>
        <w:rPr>
          <w:rFonts w:ascii="Times New Roman" w:hAnsi="Times New Roman" w:eastAsia="宋体" w:cs="Times New Roman"/>
          <w:b w:val="0"/>
          <w:color w:val="000000"/>
          <w:sz w:val="24"/>
        </w:rPr>
        <w:t>失能老人：护理、助浴和紧急救助需求最高，消费约束缩放系数普遍低于其他类型。对该类老人，应优先使用差异化补贴、护理券或低收入兜底，而不宜仅依赖统一价格。</w:t>
      </w:r>
    </w:p>
    <w:p>
      <w:pPr>
        <w:pStyle w:val="ListBullet"/>
        <w:spacing w:before="0" w:after="0" w:lineRule="exact" w:line="400"/>
        <w:ind w:left="480"/>
        <w:jc w:val="left"/>
      </w:pPr>
      <w:r>
        <w:rPr>
          <w:rFonts w:ascii="Times New Roman" w:hAnsi="Times New Roman" w:eastAsia="宋体" w:cs="Times New Roman"/>
          <w:b w:val="0"/>
          <w:color w:val="000000"/>
          <w:sz w:val="24"/>
        </w:rPr>
        <w:t>地理可及性：所有小区与所分配站点距离在 0～500 米之间，地理可及性较好；但响应满意度偏低说明高负荷下仍会出现等待，需通过扩容或预约调度提升实际可及性。</w:t>
      </w:r>
    </w:p>
    <w:p>
      <w:pPr>
        <w:pStyle w:val="ListBullet"/>
        <w:spacing w:before="0" w:after="0" w:lineRule="exact" w:line="400"/>
        <w:ind w:left="480"/>
        <w:jc w:val="left"/>
      </w:pPr>
      <w:r>
        <w:rPr>
          <w:rFonts w:ascii="Times New Roman" w:hAnsi="Times New Roman" w:eastAsia="宋体" w:cs="Times New Roman"/>
          <w:b w:val="0"/>
          <w:color w:val="000000"/>
          <w:sz w:val="24"/>
        </w:rPr>
        <w:t>信息可及性：老年人对线上预约、紧急呼叫和补贴规则理解能力不同，建议保留线下窗口、电话预约和社区志愿者协助机制。</w:t>
      </w:r>
    </w:p>
    <w:p>
      <w:pPr>
        <w:pStyle w:val="Heading1"/>
        <w:keepNext/>
        <w:spacing w:before="160" w:after="80" w:lineRule="exact" w:line="400"/>
        <w:jc w:val="left"/>
      </w:pPr>
      <w:r>
        <w:rPr>
          <w:rFonts w:ascii="Times New Roman" w:hAnsi="Times New Roman" w:cs="Times New Roman" w:eastAsia="宋体"/>
          <w:b/>
          <w:color w:val="000000"/>
          <w:sz w:val="24"/>
        </w:rPr>
        <w:t>六、问题四：灵敏度分析与方案比较</w:t>
      </w:r>
    </w:p>
    <w:p/>
    <w:p/>
    <w:p/>
    <w:p/>
    <w:p>
      <w:pPr>
        <w:pStyle w:val="Heading2"/>
        <w:keepNext/>
        <w:spacing w:before="100" w:after="40" w:lineRule="exact" w:line="400"/>
        <w:jc w:val="left"/>
      </w:pPr>
      <w:r>
        <w:rPr>
          <w:rFonts w:ascii="Times New Roman" w:hAnsi="Times New Roman" w:cs="Times New Roman" w:eastAsia="宋体"/>
          <w:b/>
          <w:color w:val="000000"/>
          <w:sz w:val="24"/>
        </w:rPr>
        <w:t>6.1 参数变化重新计算</w:t>
      </w:r>
    </w:p>
    <w:p>
      <w:pPr>
        <w:pStyle w:val="Caption"/>
        <w:keepNext/>
        <w:spacing w:before="80" w:after="60" w:lineRule="exact" w:line="360"/>
        <w:jc w:val="center"/>
      </w:pPr>
      <w:r>
        <w:rPr>
          <w:rFonts w:ascii="Times New Roman" w:hAnsi="Times New Roman" w:cs="Times New Roman" w:eastAsia="宋体"/>
          <w:b w:val="0"/>
          <w:color w:val="000000"/>
          <w:sz w:val="21"/>
        </w:rPr>
        <w:t>表15 灵敏度分析方案比较</w:t>
      </w:r>
    </w:p>
    <w:tbl>
      <w:tblPr>
        <w:tblStyle w:val="TableGrid"/>
        <w:tblW w:type="dxa" w:w="85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14"/>
        <w:gridCol w:w="1314"/>
        <w:gridCol w:w="1314"/>
        <w:gridCol w:w="1314"/>
        <w:gridCol w:w="1314"/>
        <w:gridCol w:w="1314"/>
        <w:gridCol w:w="1314"/>
        <w:gridCol w:w="1314"/>
      </w:tblGrid>
      <w:tr>
        <w:trPr>
          <w:tblHeader w:val="true"/>
        </w:trPr>
        <w:tc>
          <w:tcPr>
            <w:tcW w:type="dxa" w:w="1062"/>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情景</w:t>
            </w:r>
          </w:p>
        </w:tc>
        <w:tc>
          <w:tcPr>
            <w:tcW w:type="dxa" w:w="1062"/>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第5年60+人数</w:t>
            </w:r>
          </w:p>
        </w:tc>
        <w:tc>
          <w:tcPr>
            <w:tcW w:type="dxa" w:w="1062"/>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实际需求总量(次/月)</w:t>
            </w:r>
          </w:p>
        </w:tc>
        <w:tc>
          <w:tcPr>
            <w:tcW w:type="dxa" w:w="1062"/>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站点数量与规模变化</w:t>
            </w:r>
          </w:p>
        </w:tc>
        <w:tc>
          <w:tcPr>
            <w:tcW w:type="dxa" w:w="1062"/>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覆盖率</w:t>
            </w:r>
          </w:p>
        </w:tc>
        <w:tc>
          <w:tcPr>
            <w:tcW w:type="dxa" w:w="1062"/>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加权满意度</w:t>
            </w:r>
          </w:p>
        </w:tc>
        <w:tc>
          <w:tcPr>
            <w:tcW w:type="dxa" w:w="1062"/>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政府补贴(万元/年)</w:t>
            </w:r>
          </w:p>
        </w:tc>
        <w:tc>
          <w:tcPr>
            <w:tcW w:type="dxa" w:w="1062"/>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利润率变化</w:t>
            </w:r>
          </w:p>
        </w:tc>
      </w:tr>
      <w:tr>
        <w:trPr/>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基准方案</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7578.42</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247099</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C/G/H/J 四个小型站</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0.8721</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35.07</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4.54%</w:t>
            </w:r>
          </w:p>
        </w:tc>
      </w:tr>
      <w:tr>
        <w:trPr/>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老人增长与转移增强</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7957.26</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260979</w:t>
            </w:r>
          </w:p>
        </w:tc>
        <w:tc>
          <w:tcPr>
            <w:tcW w:type="dxa" w:w="1062"/>
            <w:vAlign w:val="center"/>
            <w:tcMar>
              <w:top w:w="25" w:type="dxa"/>
              <w:start w:w="25" w:type="dxa"/>
              <w:bottom w:w="25" w:type="dxa"/>
              <w:end w:w="25" w:type="dxa"/>
            </w:tcMar>
          </w:tcPr>
          <w:p>
            <w:pPr>
              <w:spacing w:before="0" w:after="0" w:lineRule="exact" w:line="180"/>
              <w:jc w:val="left"/>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站点位置基本不变，日负荷约增加5.6%</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062"/>
            <w:vAlign w:val="center"/>
            <w:tcMar>
              <w:top w:w="25" w:type="dxa"/>
              <w:start w:w="25" w:type="dxa"/>
              <w:bottom w:w="25" w:type="dxa"/>
              <w:end w:w="25" w:type="dxa"/>
            </w:tcMar>
          </w:tcPr>
          <w:p>
            <w:pPr>
              <w:spacing w:before="0" w:after="0" w:lineRule="exact" w:line="180"/>
              <w:jc w:val="left"/>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约0.8721（软容量下S2仍为0.60）</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37.04</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需重新核算</w:t>
            </w:r>
          </w:p>
        </w:tc>
      </w:tr>
      <w:tr>
        <w:trPr/>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日固定管理成本+20%</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7578.42</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247099</w:t>
            </w:r>
          </w:p>
        </w:tc>
        <w:tc>
          <w:tcPr>
            <w:tcW w:type="dxa" w:w="1062"/>
            <w:vAlign w:val="center"/>
            <w:tcMar>
              <w:top w:w="25" w:type="dxa"/>
              <w:start w:w="25" w:type="dxa"/>
              <w:bottom w:w="25" w:type="dxa"/>
              <w:end w:w="25" w:type="dxa"/>
            </w:tcMar>
          </w:tcPr>
          <w:p>
            <w:pPr>
              <w:spacing w:before="0" w:after="0" w:lineRule="exact" w:line="180"/>
              <w:jc w:val="left"/>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位置不变，但运营亏损风险显著上升</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若不涨价则不变</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35.07</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-15.22%</w:t>
            </w:r>
          </w:p>
        </w:tc>
      </w:tr>
      <w:tr>
        <w:trPr/>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建设预算提高到140万元</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7578.42</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247099</w:t>
            </w:r>
          </w:p>
        </w:tc>
        <w:tc>
          <w:tcPr>
            <w:tcW w:type="dxa" w:w="1062"/>
            <w:vAlign w:val="center"/>
            <w:tcMar>
              <w:top w:w="25" w:type="dxa"/>
              <w:start w:w="25" w:type="dxa"/>
              <w:bottom w:w="25" w:type="dxa"/>
              <w:end w:w="25" w:type="dxa"/>
            </w:tcMar>
          </w:tcPr>
          <w:p>
            <w:pPr>
              <w:spacing w:before="0" w:after="0" w:lineRule="exact" w:line="180"/>
              <w:jc w:val="left"/>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建议 J/G 升大型、H 升中型、C 保持小型</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0.9364</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随有效服务人次略升</w:t>
            </w:r>
          </w:p>
        </w:tc>
        <w:tc>
          <w:tcPr>
            <w:tcW w:type="dxa" w:w="1062"/>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可保本微利</w:t>
            </w:r>
          </w:p>
        </w:tc>
      </w:tr>
    </w:tbl>
    <w:p>
      <w:pPr>
        <w:spacing w:before="0" w:after="0" w:lineRule="exact" w:line="400"/>
        <w:ind w:firstLine="480"/>
        <w:jc w:val="both"/>
      </w:pPr>
      <w:r>
        <w:rPr>
          <w:rFonts w:ascii="Times New Roman" w:hAnsi="Times New Roman" w:eastAsia="宋体" w:cs="Times New Roman"/>
          <w:b w:val="0"/>
          <w:color w:val="000000"/>
          <w:sz w:val="24"/>
        </w:rPr>
        <w:t>当老人增长率提高至 8%、自理转半失能提高至 5.5%、半失能转失能调整为 9.5% 时，第5年60+老人约 7957.26 人，比基准增加约 5.00%；实际需求总量约 260979 次/月，比基准增加约 5.62%。这会直接放大 J、G 等高负荷站点的排队压力。</w:t>
      </w:r>
    </w:p>
    <w:p>
      <w:pPr>
        <w:spacing w:before="0" w:after="0" w:lineRule="exact" w:line="400"/>
        <w:ind w:firstLine="480"/>
        <w:jc w:val="both"/>
      </w:pPr>
      <w:r>
        <w:rPr>
          <w:rFonts w:ascii="Times New Roman" w:hAnsi="Times New Roman" w:eastAsia="宋体" w:cs="Times New Roman"/>
          <w:b w:val="0"/>
          <w:color w:val="000000"/>
          <w:sz w:val="24"/>
        </w:rPr>
        <w:t>日固定管理成本上升 20% 时，若定价和补贴不变，每个小型站年成本约增加 14.60 万元，四站合计会使利润从 13.42 万元下降到 -44.98 万元。为保持老人满意度，优先建议采用固定成本补贴或运营绩效补贴，而不是简单上调老人付费价格。</w:t>
      </w:r>
    </w:p>
    <w:p>
      <w:pPr>
        <w:pStyle w:val="Caption"/>
        <w:keepNext/>
        <w:spacing w:before="80" w:after="60" w:lineRule="exact" w:line="360"/>
        <w:jc w:val="center"/>
      </w:pPr>
      <w:r>
        <w:rPr>
          <w:rFonts w:ascii="Times New Roman" w:hAnsi="Times New Roman" w:cs="Times New Roman" w:eastAsia="宋体"/>
          <w:b w:val="0"/>
          <w:color w:val="000000"/>
          <w:sz w:val="21"/>
        </w:rPr>
        <w:t>表16 预算140万元时的扩容建议与满意度变化</w:t>
      </w:r>
    </w:p>
    <w:tbl>
      <w:tblPr>
        <w:tblStyle w:val="TableGrid"/>
        <w:tblW w:type="dxa" w:w="85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2"/>
        <w:gridCol w:w="1502"/>
        <w:gridCol w:w="1502"/>
        <w:gridCol w:w="1502"/>
        <w:gridCol w:w="1502"/>
        <w:gridCol w:w="1502"/>
        <w:gridCol w:w="1502"/>
      </w:tblGrid>
      <w:tr>
        <w:trPr>
          <w:tblHeader w:val="true"/>
        </w:trPr>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小区</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分配站点</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建议规模</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距离(米)</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距离满意度S1</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响应满意度S2</w:t>
            </w:r>
          </w:p>
        </w:tc>
        <w:tc>
          <w:tcPr>
            <w:tcW w:type="dxa" w:w="1214"/>
            <w:vAlign w:val="center"/>
            <w:shd w:fill="D9EAF7"/>
            <w:tcMar>
              <w:top w:w="25" w:type="dxa"/>
              <w:start w:w="25" w:type="dxa"/>
              <w:bottom w:w="25" w:type="dxa"/>
              <w:end w:w="25" w:type="dxa"/>
            </w:tcMar>
          </w:tcPr>
          <w:p>
            <w:pPr>
              <w:spacing w:before="0" w:after="0" w:lineRule="exact" w:line="180"/>
              <w:jc w:val="center"/>
            </w:pPr>
            <w:r>
              <w:rPr>
                <w:rFonts w:ascii="Times New Roman" w:hAnsi="Times New Roman" w:cs="Times New Roman" w:eastAsia="宋体"/>
                <w:b/>
                <w:color w:val="000000"/>
                <w:sz w:val="14"/>
              </w:rPr>
            </w:r>
            <w:r>
              <w:rPr>
                <w:rFonts w:ascii="Times New Roman" w:hAnsi="Times New Roman" w:eastAsia="宋体" w:cs="Times New Roman"/>
                <w:b/>
                <w:color w:val="000000"/>
                <w:sz w:val="14"/>
              </w:rPr>
              <w:t>社区满意度</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A</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J</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大型</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500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0.72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0.90</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B</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J</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大型</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300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0.72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0.92</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C</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C</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小型</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0.60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0.88</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D</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H</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中型</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300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E</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G</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大型</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400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0.93</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0.96</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F</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G</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大型</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500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0.93</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0.96</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G</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G</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大型</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0.93</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0.98</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H</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H</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中型</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I</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J</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大型</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400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0.72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0.90</w:t>
            </w:r>
          </w:p>
        </w:tc>
      </w:tr>
      <w:tr>
        <w:trPr/>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J</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J</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大型</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1.00</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0.72</w:t>
            </w:r>
          </w:p>
        </w:tc>
        <w:tc>
          <w:tcPr>
            <w:tcW w:type="dxa" w:w="1214"/>
            <w:vAlign w:val="center"/>
            <w:tcMar>
              <w:top w:w="25" w:type="dxa"/>
              <w:start w:w="25" w:type="dxa"/>
              <w:bottom w:w="25" w:type="dxa"/>
              <w:end w:w="25" w:type="dxa"/>
            </w:tcMar>
          </w:tcPr>
          <w:p>
            <w:pPr>
              <w:spacing w:before="0" w:after="0" w:lineRule="exact" w:line="180"/>
              <w:jc w:val="center"/>
            </w:pPr>
            <w:r>
              <w:rPr>
                <w:rFonts w:ascii="Times New Roman" w:hAnsi="Times New Roman" w:cs="Times New Roman" w:eastAsia="宋体"/>
                <w:b w:val="0"/>
                <w:color w:val="000000"/>
                <w:sz w:val="14"/>
              </w:rPr>
            </w:r>
            <w:r>
              <w:rPr>
                <w:rFonts w:ascii="Times New Roman" w:hAnsi="Times New Roman" w:eastAsia="宋体" w:cs="Times New Roman"/>
                <w:b w:val="0"/>
                <w:color w:val="000000"/>
                <w:sz w:val="14"/>
              </w:rPr>
              <w:t>0.92</w:t>
            </w:r>
          </w:p>
        </w:tc>
      </w:tr>
    </w:tbl>
    <w:p>
      <w:pPr>
        <w:pStyle w:val="Heading2"/>
        <w:keepNext/>
        <w:spacing w:before="100" w:after="40" w:lineRule="exact" w:line="400"/>
        <w:jc w:val="left"/>
      </w:pPr>
      <w:r>
        <w:rPr>
          <w:rFonts w:ascii="Times New Roman" w:hAnsi="Times New Roman" w:cs="Times New Roman" w:eastAsia="宋体"/>
          <w:b/>
          <w:color w:val="000000"/>
          <w:sz w:val="24"/>
        </w:rPr>
        <w:t>6.2 敏感性与鲁棒性评价</w:t>
      </w:r>
    </w:p>
    <w:p>
      <w:pPr>
        <w:pStyle w:val="ListBullet"/>
        <w:spacing w:before="0" w:after="0" w:lineRule="exact" w:line="400"/>
        <w:ind w:left="480"/>
        <w:jc w:val="left"/>
      </w:pPr>
      <w:r>
        <w:rPr>
          <w:rFonts w:ascii="Times New Roman" w:hAnsi="Times New Roman" w:eastAsia="宋体" w:cs="Times New Roman"/>
          <w:b w:val="0"/>
          <w:color w:val="000000"/>
          <w:sz w:val="24"/>
        </w:rPr>
        <w:t>对老人规模增长较敏感：需求增幅与老人数量增幅基本同向，站点位置变化不大，但站点规模和排班需要调整。</w:t>
      </w:r>
    </w:p>
    <w:p>
      <w:pPr>
        <w:pStyle w:val="ListBullet"/>
        <w:spacing w:before="0" w:after="0" w:lineRule="exact" w:line="400"/>
        <w:ind w:left="480"/>
        <w:jc w:val="left"/>
      </w:pPr>
      <w:r>
        <w:rPr>
          <w:rFonts w:ascii="Times New Roman" w:hAnsi="Times New Roman" w:eastAsia="宋体" w:cs="Times New Roman"/>
          <w:b w:val="0"/>
          <w:color w:val="000000"/>
          <w:sz w:val="24"/>
        </w:rPr>
        <w:t>对失能转移概率较敏感：失能和半失能老人增长会显著增加护理、助浴、康复理疗等高成本服务，价格和补贴压力上升。</w:t>
      </w:r>
    </w:p>
    <w:p>
      <w:pPr>
        <w:pStyle w:val="ListBullet"/>
        <w:spacing w:before="0" w:after="0" w:lineRule="exact" w:line="400"/>
        <w:ind w:left="480"/>
        <w:jc w:val="left"/>
      </w:pPr>
      <w:r>
        <w:rPr>
          <w:rFonts w:ascii="Times New Roman" w:hAnsi="Times New Roman" w:eastAsia="宋体" w:cs="Times New Roman"/>
          <w:b w:val="0"/>
          <w:color w:val="000000"/>
          <w:sz w:val="24"/>
        </w:rPr>
        <w:t>对固定管理成本高度敏感：成本上升 20% 即可能把保本微利方案推向亏损，说明模型对运营成本参数不够鲁棒。</w:t>
      </w:r>
    </w:p>
    <w:p>
      <w:pPr>
        <w:pStyle w:val="ListBullet"/>
        <w:spacing w:before="0" w:after="0" w:lineRule="exact" w:line="400"/>
        <w:ind w:left="480"/>
        <w:jc w:val="left"/>
      </w:pPr>
      <w:r>
        <w:rPr>
          <w:rFonts w:ascii="Times New Roman" w:hAnsi="Times New Roman" w:eastAsia="宋体" w:cs="Times New Roman"/>
          <w:b w:val="0"/>
          <w:color w:val="000000"/>
          <w:sz w:val="24"/>
        </w:rPr>
        <w:t>对建设预算较稳健：预算从 120 万提高到 140 万后，站点位置仍以 C/G/H/J 为主，说明位置选择较稳定；但规模配置会明显改变，满意度提升明显。</w:t>
      </w:r>
    </w:p>
    <w:p>
      <w:pPr>
        <w:pStyle w:val="Heading2"/>
        <w:keepNext/>
        <w:spacing w:before="100" w:after="40" w:lineRule="exact" w:line="400"/>
        <w:jc w:val="left"/>
      </w:pPr>
      <w:r>
        <w:rPr>
          <w:rFonts w:ascii="Times New Roman" w:hAnsi="Times New Roman" w:cs="Times New Roman" w:eastAsia="宋体"/>
          <w:b/>
          <w:color w:val="000000"/>
          <w:sz w:val="24"/>
        </w:rPr>
        <w:t>6.3 实际推广中的其他不确定因素及策略</w:t>
      </w:r>
    </w:p>
    <w:p>
      <w:pPr>
        <w:pStyle w:val="Caption"/>
        <w:keepNext/>
        <w:spacing w:before="80" w:after="60" w:lineRule="exact" w:line="360"/>
        <w:jc w:val="center"/>
      </w:pPr>
      <w:r>
        <w:rPr>
          <w:rFonts w:ascii="Times New Roman" w:hAnsi="Times New Roman" w:cs="Times New Roman" w:eastAsia="宋体"/>
          <w:b w:val="0"/>
          <w:color w:val="000000"/>
          <w:sz w:val="21"/>
        </w:rPr>
        <w:t>表17 实际推广不确定因素及应对策略</w:t>
      </w:r>
    </w:p>
    <w:tbl>
      <w:tblPr>
        <w:tblStyle w:val="TableGrid"/>
        <w:tblW w:type="dxa" w:w="85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4"/>
        <w:gridCol w:w="3504"/>
        <w:gridCol w:w="3504"/>
      </w:tblGrid>
      <w:tr>
        <w:trPr>
          <w:tblHeader w:val="true"/>
        </w:trPr>
        <w:tc>
          <w:tcPr>
            <w:tcW w:type="dxa" w:w="2833"/>
            <w:vAlign w:val="center"/>
            <w:shd w:fill="D9EAF7"/>
            <w:tcMar>
              <w:top w:w="70" w:type="dxa"/>
              <w:start w:w="70" w:type="dxa"/>
              <w:bottom w:w="70" w:type="dxa"/>
              <w:end w:w="70" w:type="dxa"/>
            </w:tcMar>
          </w:tcPr>
          <w:p>
            <w:pPr>
              <w:spacing w:before="0" w:after="0" w:lineRule="exact" w:line="280"/>
              <w:jc w:val="center"/>
            </w:pPr>
            <w:r>
              <w:rPr>
                <w:rFonts w:ascii="Times New Roman" w:hAnsi="Times New Roman" w:cs="Times New Roman" w:eastAsia="宋体"/>
                <w:b/>
                <w:color w:val="000000"/>
                <w:sz w:val="20"/>
              </w:rPr>
            </w:r>
            <w:r>
              <w:rPr>
                <w:rFonts w:ascii="Times New Roman" w:hAnsi="Times New Roman" w:eastAsia="宋体" w:cs="Times New Roman"/>
                <w:b/>
                <w:color w:val="000000"/>
                <w:sz w:val="20"/>
              </w:rPr>
              <w:t>不确定因素</w:t>
            </w:r>
          </w:p>
        </w:tc>
        <w:tc>
          <w:tcPr>
            <w:tcW w:type="dxa" w:w="2833"/>
            <w:vAlign w:val="center"/>
            <w:shd w:fill="D9EAF7"/>
            <w:tcMar>
              <w:top w:w="70" w:type="dxa"/>
              <w:start w:w="70" w:type="dxa"/>
              <w:bottom w:w="70" w:type="dxa"/>
              <w:end w:w="70" w:type="dxa"/>
            </w:tcMar>
          </w:tcPr>
          <w:p>
            <w:pPr>
              <w:spacing w:before="0" w:after="0" w:lineRule="exact" w:line="280"/>
              <w:jc w:val="center"/>
            </w:pPr>
            <w:r>
              <w:rPr>
                <w:rFonts w:ascii="Times New Roman" w:hAnsi="Times New Roman" w:cs="Times New Roman" w:eastAsia="宋体"/>
                <w:b/>
                <w:color w:val="000000"/>
                <w:sz w:val="20"/>
              </w:rPr>
            </w:r>
            <w:r>
              <w:rPr>
                <w:rFonts w:ascii="Times New Roman" w:hAnsi="Times New Roman" w:eastAsia="宋体" w:cs="Times New Roman"/>
                <w:b/>
                <w:color w:val="000000"/>
                <w:sz w:val="20"/>
              </w:rPr>
              <w:t>影响</w:t>
            </w:r>
          </w:p>
        </w:tc>
        <w:tc>
          <w:tcPr>
            <w:tcW w:type="dxa" w:w="2833"/>
            <w:vAlign w:val="center"/>
            <w:shd w:fill="D9EAF7"/>
            <w:tcMar>
              <w:top w:w="70" w:type="dxa"/>
              <w:start w:w="70" w:type="dxa"/>
              <w:bottom w:w="70" w:type="dxa"/>
              <w:end w:w="70" w:type="dxa"/>
            </w:tcMar>
          </w:tcPr>
          <w:p>
            <w:pPr>
              <w:spacing w:before="0" w:after="0" w:lineRule="exact" w:line="280"/>
              <w:jc w:val="center"/>
            </w:pPr>
            <w:r>
              <w:rPr>
                <w:rFonts w:ascii="Times New Roman" w:hAnsi="Times New Roman" w:cs="Times New Roman" w:eastAsia="宋体"/>
                <w:b/>
                <w:color w:val="000000"/>
                <w:sz w:val="20"/>
              </w:rPr>
            </w:r>
            <w:r>
              <w:rPr>
                <w:rFonts w:ascii="Times New Roman" w:hAnsi="Times New Roman" w:eastAsia="宋体" w:cs="Times New Roman"/>
                <w:b/>
                <w:color w:val="000000"/>
                <w:sz w:val="20"/>
              </w:rPr>
              <w:t>应对策略</w:t>
            </w:r>
          </w:p>
        </w:tc>
      </w:tr>
      <w:tr>
        <w:trPr/>
        <w:tc>
          <w:tcPr>
            <w:tcW w:type="dxa" w:w="2833"/>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人员供给不确定</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护理员、康复师、助浴人员不足会导致实际服务能力低于名义容量</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建立跨站机动班组；设置技能岗位最低配置；引入排班优化和高峰预约</w:t>
            </w:r>
          </w:p>
        </w:tc>
      </w:tr>
      <w:tr>
        <w:trPr/>
        <w:tc>
          <w:tcPr>
            <w:tcW w:type="dxa" w:w="2833"/>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需求季节性与突发事件</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寒暑、流感、极端天气会改变上门护理和紧急救助需求</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建立安全库存和应急队列；引入滚动预测；预留10%～20%弹性容量</w:t>
            </w:r>
          </w:p>
        </w:tc>
      </w:tr>
      <w:tr>
        <w:trPr/>
        <w:tc>
          <w:tcPr>
            <w:tcW w:type="dxa" w:w="2833"/>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价格接受度与收入差异</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低收入失能老人可能因价格放弃服务</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采用分档补贴、护理券和低保兜底；对刚性服务单独设置保障额度</w:t>
            </w:r>
          </w:p>
        </w:tc>
      </w:tr>
      <w:tr>
        <w:trPr/>
        <w:tc>
          <w:tcPr>
            <w:tcW w:type="dxa" w:w="2833"/>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空间可达性偏差</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距离矩阵不等于实际步行时间，电梯、坡道、交通限制会改变可达性</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使用GIS路网时间替代直线距离；入户核查行动不便老人分布</w:t>
            </w:r>
          </w:p>
        </w:tc>
      </w:tr>
      <w:tr>
        <w:trPr/>
        <w:tc>
          <w:tcPr>
            <w:tcW w:type="dxa" w:w="2833"/>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政策调整</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补贴标准、医保长护险衔接和社区场地政策可能变化</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将补贴和成本设为可配置参数；每年复核一次站点和价格方案</w:t>
            </w:r>
          </w:p>
        </w:tc>
      </w:tr>
    </w:tbl>
    <w:p>
      <w:pPr>
        <w:pStyle w:val="Heading1"/>
        <w:keepNext/>
        <w:spacing w:before="160" w:after="80" w:lineRule="exact" w:line="400"/>
        <w:jc w:val="left"/>
      </w:pPr>
      <w:r>
        <w:rPr>
          <w:rFonts w:ascii="Times New Roman" w:hAnsi="Times New Roman" w:cs="Times New Roman" w:eastAsia="宋体"/>
          <w:b/>
          <w:color w:val="000000"/>
          <w:sz w:val="24"/>
        </w:rPr>
        <w:t>七、GitHub 项目设计核查与改进建议</w:t>
      </w:r>
    </w:p>
    <w:p>
      <w:pPr>
        <w:spacing w:before="0" w:after="0" w:lineRule="exact" w:line="400"/>
        <w:ind w:firstLine="480"/>
        <w:jc w:val="both"/>
      </w:pPr>
      <w:r>
        <w:rPr>
          <w:rFonts w:ascii="Times New Roman" w:hAnsi="Times New Roman" w:eastAsia="宋体" w:cs="Times New Roman"/>
          <w:b w:val="0"/>
          <w:color w:val="000000"/>
          <w:sz w:val="24"/>
        </w:rPr>
        <w:t>本节基于用户提供的 GitHub 项目进行核查。该仓库包含 q1～q4 的 Python 脚本、各题输出目录、题面 PDF、requirements.txt 以及附件 Excel 数据；从实现上看，已经形成了可运行的基本流程，但仍存在若干会影响正式论文可信度和工程可落地性的设计问题。</w:t>
      </w:r>
    </w:p>
    <w:p>
      <w:pPr>
        <w:pStyle w:val="Caption"/>
        <w:keepNext/>
        <w:spacing w:before="80" w:after="60" w:lineRule="exact" w:line="360"/>
        <w:jc w:val="center"/>
      </w:pPr>
      <w:r>
        <w:rPr>
          <w:rFonts w:ascii="Times New Roman" w:hAnsi="Times New Roman" w:cs="Times New Roman" w:eastAsia="宋体"/>
          <w:b w:val="0"/>
          <w:color w:val="000000"/>
          <w:sz w:val="21"/>
        </w:rPr>
        <w:t>表18 GitHub项目设计核查与改进建议</w:t>
      </w:r>
    </w:p>
    <w:tbl>
      <w:tblPr>
        <w:tblStyle w:val="TableGrid"/>
        <w:tblW w:type="dxa" w:w="850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4"/>
        <w:gridCol w:w="3504"/>
        <w:gridCol w:w="3504"/>
      </w:tblGrid>
      <w:tr>
        <w:trPr>
          <w:tblHeader w:val="true"/>
        </w:trPr>
        <w:tc>
          <w:tcPr>
            <w:tcW w:type="dxa" w:w="2833"/>
            <w:vAlign w:val="center"/>
            <w:shd w:fill="D9EAF7"/>
            <w:tcMar>
              <w:top w:w="70" w:type="dxa"/>
              <w:start w:w="70" w:type="dxa"/>
              <w:bottom w:w="70" w:type="dxa"/>
              <w:end w:w="70" w:type="dxa"/>
            </w:tcMar>
          </w:tcPr>
          <w:p>
            <w:pPr>
              <w:spacing w:before="0" w:after="0" w:lineRule="exact" w:line="280"/>
              <w:jc w:val="center"/>
            </w:pPr>
            <w:r>
              <w:rPr>
                <w:rFonts w:ascii="Times New Roman" w:hAnsi="Times New Roman" w:cs="Times New Roman" w:eastAsia="宋体"/>
                <w:b/>
                <w:color w:val="000000"/>
                <w:sz w:val="20"/>
              </w:rPr>
            </w:r>
            <w:r>
              <w:rPr>
                <w:rFonts w:ascii="Times New Roman" w:hAnsi="Times New Roman" w:eastAsia="宋体" w:cs="Times New Roman"/>
                <w:b/>
                <w:color w:val="000000"/>
                <w:sz w:val="20"/>
              </w:rPr>
              <w:t>问题</w:t>
            </w:r>
          </w:p>
        </w:tc>
        <w:tc>
          <w:tcPr>
            <w:tcW w:type="dxa" w:w="2833"/>
            <w:vAlign w:val="center"/>
            <w:shd w:fill="D9EAF7"/>
            <w:tcMar>
              <w:top w:w="70" w:type="dxa"/>
              <w:start w:w="70" w:type="dxa"/>
              <w:bottom w:w="70" w:type="dxa"/>
              <w:end w:w="70" w:type="dxa"/>
            </w:tcMar>
          </w:tcPr>
          <w:p>
            <w:pPr>
              <w:spacing w:before="0" w:after="0" w:lineRule="exact" w:line="280"/>
              <w:jc w:val="center"/>
            </w:pPr>
            <w:r>
              <w:rPr>
                <w:rFonts w:ascii="Times New Roman" w:hAnsi="Times New Roman" w:cs="Times New Roman" w:eastAsia="宋体"/>
                <w:b/>
                <w:color w:val="000000"/>
                <w:sz w:val="20"/>
              </w:rPr>
            </w:r>
            <w:r>
              <w:rPr>
                <w:rFonts w:ascii="Times New Roman" w:hAnsi="Times New Roman" w:eastAsia="宋体" w:cs="Times New Roman"/>
                <w:b/>
                <w:color w:val="000000"/>
                <w:sz w:val="20"/>
              </w:rPr>
              <w:t>表现</w:t>
            </w:r>
          </w:p>
        </w:tc>
        <w:tc>
          <w:tcPr>
            <w:tcW w:type="dxa" w:w="2833"/>
            <w:vAlign w:val="center"/>
            <w:shd w:fill="D9EAF7"/>
            <w:tcMar>
              <w:top w:w="70" w:type="dxa"/>
              <w:start w:w="70" w:type="dxa"/>
              <w:bottom w:w="70" w:type="dxa"/>
              <w:end w:w="70" w:type="dxa"/>
            </w:tcMar>
          </w:tcPr>
          <w:p>
            <w:pPr>
              <w:spacing w:before="0" w:after="0" w:lineRule="exact" w:line="280"/>
              <w:jc w:val="center"/>
            </w:pPr>
            <w:r>
              <w:rPr>
                <w:rFonts w:ascii="Times New Roman" w:hAnsi="Times New Roman" w:cs="Times New Roman" w:eastAsia="宋体"/>
                <w:b/>
                <w:color w:val="000000"/>
                <w:sz w:val="20"/>
              </w:rPr>
            </w:r>
            <w:r>
              <w:rPr>
                <w:rFonts w:ascii="Times New Roman" w:hAnsi="Times New Roman" w:eastAsia="宋体" w:cs="Times New Roman"/>
                <w:b/>
                <w:color w:val="000000"/>
                <w:sz w:val="20"/>
              </w:rPr>
              <w:t>改进建议</w:t>
            </w:r>
          </w:p>
        </w:tc>
      </w:tr>
      <w:tr>
        <w:trPr/>
        <w:tc>
          <w:tcPr>
            <w:tcW w:type="dxa" w:w="2833"/>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缺少README和问题说明</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仓库页面未提供项目描述、模型说明、运行顺序和结果解释</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增加 README：题目背景、依赖安装、运行命令、输出含义、模型假设和复现实验说明</w:t>
            </w:r>
          </w:p>
        </w:tc>
      </w:tr>
      <w:tr>
        <w:trPr/>
        <w:tc>
          <w:tcPr>
            <w:tcW w:type="dxa" w:w="2833"/>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q1转移概率硬编码</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代码注释说明附件中有转移概率，但实现中直接写 self_to_semi=0.045、semi_to_disabled=0.1</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改为从附件1读取，并提供配置文件；灵敏度分析直接覆盖参数而不是改源码</w:t>
            </w:r>
          </w:p>
        </w:tc>
      </w:tr>
      <w:tr>
        <w:trPr/>
        <w:tc>
          <w:tcPr>
            <w:tcW w:type="dxa" w:w="2833"/>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q2候选点被截断</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代码设置 TOP_CANDIDATE_SITES=6、MAX_SELECTED_SITES=5，可能漏掉全局最优</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本题 n=10 规模小，应完整枚举10个点，或证明截断不会影响最优性</w:t>
            </w:r>
          </w:p>
        </w:tc>
      </w:tr>
      <w:tr>
        <w:trPr/>
        <w:tc>
          <w:tcPr>
            <w:tcW w:type="dxa" w:w="2833"/>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容量未作为硬约束</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q2输出中四个小型站利用率均超过1，J站高达2.8295，若按题意“≤1000人次/日”则不可行</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增加硬容量约束；或明确采用软容量模型并给出排队、人员加班和响应满意度下降的解释</w:t>
            </w:r>
          </w:p>
        </w:tc>
      </w:tr>
      <w:tr>
        <w:trPr/>
        <w:tc>
          <w:tcPr>
            <w:tcW w:type="dxa" w:w="2833"/>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q4未重新求解选址</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q4脚本说明是基于q2/q1输出重新搜索统一markup，未对增长率、成本、预算变化重新求解问题2</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q4应形成统一入口：更新参数→重算q1→重算q2→重算q3→输出比较表</w:t>
            </w:r>
          </w:p>
        </w:tc>
      </w:tr>
      <w:tr>
        <w:trPr/>
        <w:tc>
          <w:tcPr>
            <w:tcW w:type="dxa" w:w="2833"/>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q4出现负利润</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q4输出中C站与J站年利润为负，不符合保本微利要求</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定价模型加入 Profit_j≥0 或综合利润≥0 的约束，并报告不可行时的补贴缺口</w:t>
            </w:r>
          </w:p>
        </w:tc>
      </w:tr>
      <w:tr>
        <w:trPr/>
        <w:tc>
          <w:tcPr>
            <w:tcW w:type="dxa" w:w="2833"/>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结果解释不足</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CSV只给结果，缺少图表、约束核查和敏感性说明</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输出自动汇总表、容量核查表、站点覆盖图和论文可用解释文本</w:t>
            </w:r>
          </w:p>
        </w:tc>
      </w:tr>
      <w:tr>
        <w:trPr/>
        <w:tc>
          <w:tcPr>
            <w:tcW w:type="dxa" w:w="2833"/>
            <w:vAlign w:val="center"/>
            <w:tcMar>
              <w:top w:w="70" w:type="dxa"/>
              <w:start w:w="70" w:type="dxa"/>
              <w:bottom w:w="70" w:type="dxa"/>
              <w:end w:w="70" w:type="dxa"/>
            </w:tcMar>
          </w:tcPr>
          <w:p>
            <w:pPr>
              <w:spacing w:before="0" w:after="0" w:lineRule="exact" w:line="280"/>
              <w:jc w:val="center"/>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缺少测试与数据校验</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读取Excel时没有检查工作表名、空值、单位和距离对称性</w:t>
            </w:r>
          </w:p>
        </w:tc>
        <w:tc>
          <w:tcPr>
            <w:tcW w:type="dxa" w:w="2833"/>
            <w:vAlign w:val="center"/>
            <w:tcMar>
              <w:top w:w="70" w:type="dxa"/>
              <w:start w:w="70" w:type="dxa"/>
              <w:bottom w:w="70" w:type="dxa"/>
              <w:end w:w="70" w:type="dxa"/>
            </w:tcMar>
          </w:tcPr>
          <w:p>
            <w:pPr>
              <w:spacing w:before="0" w:after="0" w:lineRule="exact" w:line="280"/>
              <w:jc w:val="left"/>
            </w:pPr>
            <w:r>
              <w:rPr>
                <w:rFonts w:ascii="Times New Roman" w:hAnsi="Times New Roman" w:cs="Times New Roman" w:eastAsia="宋体"/>
                <w:b w:val="0"/>
                <w:color w:val="000000"/>
                <w:sz w:val="20"/>
              </w:rPr>
            </w:r>
            <w:r>
              <w:rPr>
                <w:rFonts w:ascii="Times New Roman" w:hAnsi="Times New Roman" w:eastAsia="宋体" w:cs="Times New Roman"/>
                <w:b w:val="0"/>
                <w:color w:val="000000"/>
                <w:sz w:val="20"/>
              </w:rPr>
              <w:t>增加schema校验、单元测试、边界情形测试和随机回归测试</w:t>
            </w:r>
          </w:p>
        </w:tc>
      </w:tr>
    </w:tbl>
    <w:p>
      <w:pPr>
        <w:spacing w:before="0" w:after="120" w:lineRule="exact" w:line="400"/>
        <w:ind/>
        <w:jc w:val="left"/>
      </w:pPr>
      <w:r>
        <w:rPr>
          <w:rFonts w:ascii="Times New Roman" w:hAnsi="Times New Roman" w:eastAsia="宋体" w:cs="Times New Roman"/>
          <w:b w:val="0"/>
          <w:color w:val="000000"/>
          <w:sz w:val="24"/>
        </w:rPr>
        <w:t>其中最需要优先修正的是容量硬约束和 q4 重算流程。若不修正，论文中“最优站点和规模”的结论会与题面规模限制不一致，且灵敏度分析无法证明模型鲁棒性。建议采用参数化主程序 main.py，将四个问题串联为一条可复现流水线，并在每次求解后自动输出覆盖率、容量、利润率和补贴上限核查。</w:t>
      </w:r>
      <w:r>
        <w:rPr>
          <w:rFonts w:ascii="Times New Roman" w:hAnsi="Times New Roman" w:eastAsia="宋体" w:cs="Times New Roman"/>
          <w:sz w:val="24"/>
        </w:rPr>
      </w:r>
    </w:p>
    <w:p>
      <w:pPr>
        <w:pStyle w:val="Heading1"/>
        <w:keepNext/>
        <w:spacing w:before="160" w:after="120" w:lineRule="exact" w:line="400"/>
        <w:jc w:val="center"/>
      </w:pPr>
      <w:r>
        <w:rPr>
          <w:rFonts w:ascii="Times New Roman" w:hAnsi="Times New Roman" w:cs="Times New Roman" w:eastAsia="宋体"/>
          <w:b/>
          <w:color w:val="000000"/>
          <w:sz w:val="24"/>
        </w:rPr>
        <w:t>八、结论与参考文献</w:t>
      </w:r>
      <w:r>
        <w:rPr>
          <w:rFonts w:ascii="Times New Roman" w:hAnsi="Times New Roman" w:eastAsia="宋体" w:cs="Times New Roman"/>
          <w:sz w:val="24"/>
        </w:rPr>
      </w:r>
    </w:p>
    <w:p>
      <w:pPr>
        <w:spacing w:before="0" w:after="120" w:lineRule="exact" w:line="400"/>
        <w:ind/>
        <w:jc w:val="left"/>
      </w:pPr>
      <w:r>
        <w:rPr>
          <w:rFonts w:ascii="Times New Roman" w:hAnsi="Times New Roman" w:eastAsia="宋体" w:cs="Times New Roman"/>
          <w:b w:val="0"/>
          <w:color w:val="000000"/>
          <w:sz w:val="24"/>
        </w:rPr>
        <w:t>本文建立了嵌入式社区养老服务站建设优化的完整数学模型。第5年末区域60+老人约7578.42人，消费约束后月服务需求约247099次；在软容量模型下，C、G、H、J四个站点可覆盖全部小区，覆盖率为100%，加权满意度约0.8721。定价补贴优化后，四站年补贴约35.07万元，综合利润率约4.54%，满足保本微利要求。灵敏度分析表明，老人增长和失能转移会放大服务需求，固定管理成本上升会快速侵蚀利润，而预算提高到140万元时应优先扩容高负荷站点。</w:t>
      </w:r>
      <w:r>
        <w:rPr>
          <w:rFonts w:ascii="Times New Roman" w:hAnsi="Times New Roman" w:eastAsia="宋体" w:cs="Times New Roman"/>
          <w:sz w:val="24"/>
        </w:rPr>
      </w:r>
    </w:p>
    <w:p>
      <w:pPr>
        <w:spacing w:before="0" w:after="120" w:lineRule="exact" w:line="400"/>
        <w:ind/>
        <w:jc w:val="left"/>
      </w:pPr>
      <w:r>
        <w:rPr>
          <w:rFonts w:ascii="Times New Roman" w:hAnsi="Times New Roman" w:eastAsia="宋体" w:cs="Times New Roman"/>
          <w:b w:val="0"/>
          <w:color w:val="000000"/>
          <w:sz w:val="24"/>
        </w:rPr>
        <w:t>从工程落地看，现有GitHub项目已具备基础计算框架，但当前q2容量处理、q4流程和负利润约束需要修正。正式参赛论文应在模型中明确硬容量或软容量的解释，避免把过载小型站直接作为最终可行方案。</w:t>
      </w:r>
      <w:r>
        <w:rPr>
          <w:rFonts w:ascii="Times New Roman" w:hAnsi="Times New Roman" w:eastAsia="宋体" w:cs="Times New Roman"/>
          <w:sz w:val="24"/>
        </w:rPr>
      </w:r>
    </w:p>
    <w:p>
      <w:pPr>
        <w:spacing w:after="120"/>
        <w:jc w:val="left"/>
      </w:pPr>
      <w:r>
        <w:rPr>
          <w:rFonts w:ascii="Times New Roman" w:hAnsi="Times New Roman" w:eastAsia="宋体" w:cs="Times New Roman"/>
          <w:sz w:val="24"/>
        </w:rPr>
        <w:t>[1] B 题：嵌入式社区养老服务站的建设与优化问题[Z]. 题面PDF.</w:t>
      </w:r>
    </w:p>
    <w:p>
      <w:pPr>
        <w:spacing w:after="120"/>
        <w:jc w:val="left"/>
      </w:pPr>
      <w:r>
        <w:rPr>
          <w:rFonts w:ascii="Times New Roman" w:hAnsi="Times New Roman" w:eastAsia="宋体" w:cs="Times New Roman"/>
          <w:sz w:val="24"/>
        </w:rPr>
        <w:t>[2] PinkOcelot-0w0. diangongbei项目仓库及q1-q4输出文件[EB/OL]. https://github.com/PinkOcelot-0w0/diangongbei，访问日期：2026-05-23.</w:t>
      </w:r>
    </w:p>
    <w:p>
      <w:pPr>
        <w:spacing w:after="120"/>
        <w:jc w:val="left"/>
      </w:pPr>
      <w:r>
        <w:rPr>
          <w:rFonts w:ascii="Times New Roman" w:hAnsi="Times New Roman" w:eastAsia="宋体" w:cs="Times New Roman"/>
          <w:sz w:val="24"/>
        </w:rPr>
        <w:t>[3] Williams H P. Model Building in Mathematical Programming[M]. Chichester: Wiley, 1978.</w:t>
      </w:r>
    </w:p>
    <w:p>
      <w:pPr>
        <w:spacing w:after="120"/>
        <w:jc w:val="left"/>
      </w:pPr>
      <w:r>
        <w:rPr>
          <w:rFonts w:ascii="Times New Roman" w:hAnsi="Times New Roman" w:eastAsia="宋体" w:cs="Times New Roman"/>
          <w:sz w:val="24"/>
        </w:rPr>
        <w:t>[4] 周明，孙树栋. 遗传算法原理及应用[M]. 北京：国防工业出版社，1999.</w:t>
      </w:r>
    </w:p>
    <w:sectPr w:rsidR="00FC693F" w:rsidRPr="0006063C" w:rsidSect="00034616">
      <w:footerReference w:type="default" r:id="rId9"/>
      <w:pgSz w:w="11906" w:h="16838"/>
      <w:pgMar w:top="1332" w:right="1389" w:bottom="1191" w:left="1502"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eastAsia="宋体"/>
        <w:sz w:val="21"/>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Noto Serif CJK SC" w:hAnsi="Noto Serif CJK SC" w:eastAsia="Noto Serif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erif CJK SC" w:hAnsi="Noto Serif CJK SC" w:eastAsia="Noto Serif CJK S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erif CJK SC" w:hAnsi="Noto Serif CJK SC" w:eastAsia="Noto Serif CJK SC"/>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宋体"/>
      <w:sz w:val="24"/>
    </w:rPr>
  </w:style>
  <w:style w:type="paragraph" w:styleId="BodyText">
    <w:name w:val="Body Text"/>
    <w:basedOn w:val="Normal"/>
    <w:link w:val="BodyTextChar"/>
    <w:uiPriority w:val="99"/>
    <w:unhideWhenUsed/>
    <w:rsid w:val="00AA1D8D"/>
    <w:pPr>
      <w:spacing w:after="120"/>
    </w:pPr>
    <w:rPr>
      <w:rFonts w:ascii="Times New Roman" w:hAnsi="Times New Roman" w:eastAsia="宋体"/>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i w:val="0"/>
      <w:color w:val="50505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Text">
    <w:name w:val="EquationText"/>
    <w:pPr>
      <w:spacing w:before="40" w:after="40"/>
      <w:ind w:left="360"/>
    </w:pPr>
    <w:rPr>
      <w:rFonts w:ascii="DejaVu Sans Mono" w:hAnsi="DejaVu Sans Mono" w:eastAsia="Noto Sans CJK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