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C73 — Véhicules du Canada</w:t>
      </w:r>
    </w:p>
    <w:p>
      <w:pPr>
        <w:pStyle w:val="Heading1"/>
      </w:pPr>
      <w:r>
        <w:t>Comparaison des modèles de régression</w:t>
      </w:r>
    </w:p>
    <w:p>
      <w:r>
        <w:t>Nous avons testé 36 configurations de Random Forest pour prédire la consommation combinée de carburant. Les paramètres modifiés sont le nombre d’arbres (ntrees) et la profondeur maximale (max_depth). La valeur seed reste à 42 pour tous les essais.</w:t>
      </w:r>
    </w:p>
    <w:p>
      <w:r>
        <w:t>Le tableau présente 5 des 36 configurations. Les scores proviennent de MLflow et sont calculés sur les 919 observations de validation de 2023. Le test final de 2024 est réservé à l’évaluation du modèle choisi.</w:t>
      </w:r>
    </w:p>
    <w:tbl>
      <w:tblPr>
        <w:tblStyle w:val="TableGrid"/>
        <w:tblW w:type="auto" w:w="0"/>
        <w:tblLayout w:type="fixed"/>
        <w:tblLook w:firstColumn="1" w:firstRow="1" w:lastColumn="0" w:lastRow="0" w:noHBand="0" w:noVBand="1" w:val="04A0"/>
      </w:tblPr>
      <w:tblGrid>
        <w:gridCol w:w="2948"/>
        <w:gridCol w:w="794"/>
        <w:gridCol w:w="1531"/>
        <w:gridCol w:w="1191"/>
        <w:gridCol w:w="1191"/>
        <w:gridCol w:w="1077"/>
      </w:tblGrid>
      <w:tr>
        <w:tc>
          <w:tcPr>
            <w:tcW w:type="dxa" w:w="2948"/>
            <w:shd w:fill="E8EEF5"/>
          </w:tcPr>
          <w:p>
            <w:pPr>
              <w:spacing w:after="100" w:before="100"/>
            </w:pPr>
            <w:r>
              <w:rPr>
                <w:b/>
                <w:sz w:val="18"/>
              </w:rPr>
              <w:t>Run</w:t>
            </w:r>
          </w:p>
        </w:tc>
        <w:tc>
          <w:tcPr>
            <w:tcW w:type="dxa" w:w="794"/>
            <w:shd w:fill="E8EEF5"/>
          </w:tcPr>
          <w:p>
            <w:pPr>
              <w:spacing w:after="100" w:before="100"/>
            </w:pPr>
            <w:r>
              <w:rPr>
                <w:b/>
                <w:sz w:val="18"/>
              </w:rPr>
              <w:t>Arbres</w:t>
            </w:r>
          </w:p>
        </w:tc>
        <w:tc>
          <w:tcPr>
            <w:tcW w:type="dxa" w:w="1531"/>
            <w:shd w:fill="E8EEF5"/>
          </w:tcPr>
          <w:p>
            <w:pPr>
              <w:spacing w:after="100" w:before="100"/>
            </w:pPr>
            <w:r>
              <w:rPr>
                <w:b/>
                <w:sz w:val="18"/>
              </w:rPr>
              <w:t>Profondeur</w:t>
              <w:br/>
              <w:t>maximale</w:t>
            </w:r>
          </w:p>
        </w:tc>
        <w:tc>
          <w:tcPr>
            <w:tcW w:type="dxa" w:w="1191"/>
            <w:shd w:fill="E8EEF5"/>
          </w:tcPr>
          <w:p>
            <w:pPr>
              <w:spacing w:after="100" w:before="100"/>
            </w:pPr>
            <w:r>
              <w:rPr>
                <w:b/>
                <w:sz w:val="18"/>
              </w:rPr>
              <w:t>MAE</w:t>
            </w:r>
          </w:p>
        </w:tc>
        <w:tc>
          <w:tcPr>
            <w:tcW w:type="dxa" w:w="1191"/>
            <w:shd w:fill="E8EEF5"/>
          </w:tcPr>
          <w:p>
            <w:pPr>
              <w:spacing w:after="100" w:before="100"/>
            </w:pPr>
            <w:r>
              <w:rPr>
                <w:b/>
                <w:sz w:val="18"/>
              </w:rPr>
              <w:t>RMSE</w:t>
            </w:r>
          </w:p>
        </w:tc>
        <w:tc>
          <w:tcPr>
            <w:tcW w:type="dxa" w:w="1077"/>
            <w:shd w:fill="E8EEF5"/>
          </w:tcPr>
          <w:p>
            <w:pPr>
              <w:spacing w:after="100" w:before="100"/>
            </w:pPr>
            <w:r>
              <w:rPr>
                <w:b/>
                <w:sz w:val="18"/>
              </w:rPr>
              <w:t>R²</w:t>
            </w:r>
          </w:p>
        </w:tc>
      </w:tr>
      <w:tr>
        <w:tc>
          <w:tcPr>
            <w:tcW w:type="dxa" w:w="2948"/>
          </w:tcPr>
          <w:p>
            <w:pPr>
              <w:spacing w:after="100" w:before="100"/>
            </w:pPr>
            <w:r>
              <w:rPr>
                <w:b w:val="0"/>
                <w:sz w:val="18"/>
              </w:rPr>
              <w:t>forest_50_depth_5</w:t>
            </w:r>
          </w:p>
        </w:tc>
        <w:tc>
          <w:tcPr>
            <w:tcW w:type="dxa" w:w="794"/>
          </w:tcPr>
          <w:p>
            <w:pPr>
              <w:spacing w:after="100" w:before="100"/>
            </w:pPr>
            <w:r>
              <w:rPr>
                <w:b w:val="0"/>
                <w:sz w:val="18"/>
              </w:rPr>
              <w:t>50</w:t>
            </w:r>
          </w:p>
        </w:tc>
        <w:tc>
          <w:tcPr>
            <w:tcW w:type="dxa" w:w="1531"/>
          </w:tcPr>
          <w:p>
            <w:pPr>
              <w:spacing w:after="100" w:before="100"/>
            </w:pPr>
            <w:r>
              <w:rPr>
                <w:b w:val="0"/>
                <w:sz w:val="18"/>
              </w:rPr>
              <w:t>5</w:t>
            </w:r>
          </w:p>
        </w:tc>
        <w:tc>
          <w:tcPr>
            <w:tcW w:type="dxa" w:w="1191"/>
          </w:tcPr>
          <w:p>
            <w:pPr>
              <w:spacing w:after="100" w:before="100"/>
            </w:pPr>
            <w:r>
              <w:rPr>
                <w:b w:val="0"/>
                <w:sz w:val="18"/>
              </w:rPr>
              <w:t>0,8544</w:t>
            </w:r>
          </w:p>
        </w:tc>
        <w:tc>
          <w:tcPr>
            <w:tcW w:type="dxa" w:w="1191"/>
          </w:tcPr>
          <w:p>
            <w:pPr>
              <w:spacing w:after="100" w:before="100"/>
            </w:pPr>
            <w:r>
              <w:rPr>
                <w:b w:val="0"/>
                <w:sz w:val="18"/>
              </w:rPr>
              <w:t>1,2077</w:t>
            </w:r>
          </w:p>
        </w:tc>
        <w:tc>
          <w:tcPr>
            <w:tcW w:type="dxa" w:w="1077"/>
          </w:tcPr>
          <w:p>
            <w:pPr>
              <w:spacing w:after="100" w:before="100"/>
            </w:pPr>
            <w:r>
              <w:rPr>
                <w:b w:val="0"/>
                <w:sz w:val="18"/>
              </w:rPr>
              <w:t>0,8193</w:t>
            </w:r>
          </w:p>
        </w:tc>
      </w:tr>
      <w:tr>
        <w:tc>
          <w:tcPr>
            <w:tcW w:type="dxa" w:w="2948"/>
          </w:tcPr>
          <w:p>
            <w:pPr>
              <w:spacing w:after="100" w:before="100"/>
            </w:pPr>
            <w:r>
              <w:rPr>
                <w:b w:val="0"/>
                <w:sz w:val="18"/>
              </w:rPr>
              <w:t>forest_50_depth_10</w:t>
            </w:r>
          </w:p>
        </w:tc>
        <w:tc>
          <w:tcPr>
            <w:tcW w:type="dxa" w:w="794"/>
          </w:tcPr>
          <w:p>
            <w:pPr>
              <w:spacing w:after="100" w:before="100"/>
            </w:pPr>
            <w:r>
              <w:rPr>
                <w:b w:val="0"/>
                <w:sz w:val="18"/>
              </w:rPr>
              <w:t>50</w:t>
            </w:r>
          </w:p>
        </w:tc>
        <w:tc>
          <w:tcPr>
            <w:tcW w:type="dxa" w:w="1531"/>
          </w:tcPr>
          <w:p>
            <w:pPr>
              <w:spacing w:after="100" w:before="100"/>
            </w:pPr>
            <w:r>
              <w:rPr>
                <w:b w:val="0"/>
                <w:sz w:val="18"/>
              </w:rPr>
              <w:t>10</w:t>
            </w:r>
          </w:p>
        </w:tc>
        <w:tc>
          <w:tcPr>
            <w:tcW w:type="dxa" w:w="1191"/>
          </w:tcPr>
          <w:p>
            <w:pPr>
              <w:spacing w:after="100" w:before="100"/>
            </w:pPr>
            <w:r>
              <w:rPr>
                <w:b w:val="0"/>
                <w:sz w:val="18"/>
              </w:rPr>
              <w:t>0,5914</w:t>
            </w:r>
          </w:p>
        </w:tc>
        <w:tc>
          <w:tcPr>
            <w:tcW w:type="dxa" w:w="1191"/>
          </w:tcPr>
          <w:p>
            <w:pPr>
              <w:spacing w:after="100" w:before="100"/>
            </w:pPr>
            <w:r>
              <w:rPr>
                <w:b w:val="0"/>
                <w:sz w:val="18"/>
              </w:rPr>
              <w:t>0,9114</w:t>
            </w:r>
          </w:p>
        </w:tc>
        <w:tc>
          <w:tcPr>
            <w:tcW w:type="dxa" w:w="1077"/>
          </w:tcPr>
          <w:p>
            <w:pPr>
              <w:spacing w:after="100" w:before="100"/>
            </w:pPr>
            <w:r>
              <w:rPr>
                <w:b w:val="0"/>
                <w:sz w:val="18"/>
              </w:rPr>
              <w:t>0,8971</w:t>
            </w:r>
          </w:p>
        </w:tc>
      </w:tr>
      <w:tr>
        <w:tc>
          <w:tcPr>
            <w:tcW w:type="dxa" w:w="2948"/>
          </w:tcPr>
          <w:p>
            <w:pPr>
              <w:spacing w:after="100" w:before="100"/>
            </w:pPr>
            <w:r>
              <w:rPr>
                <w:b w:val="0"/>
                <w:sz w:val="18"/>
              </w:rPr>
              <w:t>forest_100_depth_20</w:t>
            </w:r>
          </w:p>
        </w:tc>
        <w:tc>
          <w:tcPr>
            <w:tcW w:type="dxa" w:w="794"/>
          </w:tcPr>
          <w:p>
            <w:pPr>
              <w:spacing w:after="100" w:before="100"/>
            </w:pPr>
            <w:r>
              <w:rPr>
                <w:b w:val="0"/>
                <w:sz w:val="18"/>
              </w:rPr>
              <w:t>100</w:t>
            </w:r>
          </w:p>
        </w:tc>
        <w:tc>
          <w:tcPr>
            <w:tcW w:type="dxa" w:w="1531"/>
          </w:tcPr>
          <w:p>
            <w:pPr>
              <w:spacing w:after="100" w:before="100"/>
            </w:pPr>
            <w:r>
              <w:rPr>
                <w:b w:val="0"/>
                <w:sz w:val="18"/>
              </w:rPr>
              <w:t>20</w:t>
            </w:r>
          </w:p>
        </w:tc>
        <w:tc>
          <w:tcPr>
            <w:tcW w:type="dxa" w:w="1191"/>
          </w:tcPr>
          <w:p>
            <w:pPr>
              <w:spacing w:after="100" w:before="100"/>
            </w:pPr>
            <w:r>
              <w:rPr>
                <w:b w:val="0"/>
                <w:sz w:val="18"/>
              </w:rPr>
              <w:t>0,5022</w:t>
            </w:r>
          </w:p>
        </w:tc>
        <w:tc>
          <w:tcPr>
            <w:tcW w:type="dxa" w:w="1191"/>
          </w:tcPr>
          <w:p>
            <w:pPr>
              <w:spacing w:after="100" w:before="100"/>
            </w:pPr>
            <w:r>
              <w:rPr>
                <w:b w:val="0"/>
                <w:sz w:val="18"/>
              </w:rPr>
              <w:t>0,8340</w:t>
            </w:r>
          </w:p>
        </w:tc>
        <w:tc>
          <w:tcPr>
            <w:tcW w:type="dxa" w:w="1077"/>
          </w:tcPr>
          <w:p>
            <w:pPr>
              <w:spacing w:after="100" w:before="100"/>
            </w:pPr>
            <w:r>
              <w:rPr>
                <w:b w:val="0"/>
                <w:sz w:val="18"/>
              </w:rPr>
              <w:t>0,9138</w:t>
            </w:r>
          </w:p>
        </w:tc>
      </w:tr>
      <w:tr>
        <w:tc>
          <w:tcPr>
            <w:tcW w:type="dxa" w:w="2948"/>
            <w:shd w:fill="EDF5EC"/>
          </w:tcPr>
          <w:p>
            <w:pPr>
              <w:spacing w:after="100" w:before="100"/>
            </w:pPr>
            <w:r>
              <w:rPr>
                <w:b/>
                <w:sz w:val="18"/>
              </w:rPr>
              <w:t>forest_200_depth_30</w:t>
              <w:br/>
              <w:t>Champion</w:t>
            </w:r>
          </w:p>
        </w:tc>
        <w:tc>
          <w:tcPr>
            <w:tcW w:type="dxa" w:w="794"/>
            <w:shd w:fill="EDF5EC"/>
          </w:tcPr>
          <w:p>
            <w:pPr>
              <w:spacing w:after="100" w:before="100"/>
            </w:pPr>
            <w:r>
              <w:rPr>
                <w:b/>
                <w:sz w:val="18"/>
              </w:rPr>
              <w:t>200</w:t>
            </w:r>
          </w:p>
        </w:tc>
        <w:tc>
          <w:tcPr>
            <w:tcW w:type="dxa" w:w="1531"/>
            <w:shd w:fill="EDF5EC"/>
          </w:tcPr>
          <w:p>
            <w:pPr>
              <w:spacing w:after="100" w:before="100"/>
            </w:pPr>
            <w:r>
              <w:rPr>
                <w:b/>
                <w:sz w:val="18"/>
              </w:rPr>
              <w:t>30</w:t>
            </w:r>
          </w:p>
        </w:tc>
        <w:tc>
          <w:tcPr>
            <w:tcW w:type="dxa" w:w="1191"/>
            <w:shd w:fill="EDF5EC"/>
          </w:tcPr>
          <w:p>
            <w:pPr>
              <w:spacing w:after="100" w:before="100"/>
            </w:pPr>
            <w:r>
              <w:rPr>
                <w:b/>
                <w:sz w:val="18"/>
              </w:rPr>
              <w:t>0,5002</w:t>
            </w:r>
          </w:p>
        </w:tc>
        <w:tc>
          <w:tcPr>
            <w:tcW w:type="dxa" w:w="1191"/>
            <w:shd w:fill="EDF5EC"/>
          </w:tcPr>
          <w:p>
            <w:pPr>
              <w:spacing w:after="100" w:before="100"/>
            </w:pPr>
            <w:r>
              <w:rPr>
                <w:b/>
                <w:sz w:val="18"/>
              </w:rPr>
              <w:t>0,8329</w:t>
            </w:r>
          </w:p>
        </w:tc>
        <w:tc>
          <w:tcPr>
            <w:tcW w:type="dxa" w:w="1077"/>
            <w:shd w:fill="EDF5EC"/>
          </w:tcPr>
          <w:p>
            <w:pPr>
              <w:spacing w:after="100" w:before="100"/>
            </w:pPr>
            <w:r>
              <w:rPr>
                <w:b/>
                <w:sz w:val="18"/>
              </w:rPr>
              <w:t>0,9140</w:t>
            </w:r>
          </w:p>
        </w:tc>
      </w:tr>
      <w:tr>
        <w:tc>
          <w:tcPr>
            <w:tcW w:type="dxa" w:w="2948"/>
          </w:tcPr>
          <w:p>
            <w:pPr>
              <w:spacing w:after="100" w:before="100"/>
            </w:pPr>
            <w:r>
              <w:rPr>
                <w:b w:val="0"/>
                <w:sz w:val="18"/>
              </w:rPr>
              <w:t>forest_500_depth_50</w:t>
            </w:r>
          </w:p>
        </w:tc>
        <w:tc>
          <w:tcPr>
            <w:tcW w:type="dxa" w:w="794"/>
          </w:tcPr>
          <w:p>
            <w:pPr>
              <w:spacing w:after="100" w:before="100"/>
            </w:pPr>
            <w:r>
              <w:rPr>
                <w:b w:val="0"/>
                <w:sz w:val="18"/>
              </w:rPr>
              <w:t>500</w:t>
            </w:r>
          </w:p>
        </w:tc>
        <w:tc>
          <w:tcPr>
            <w:tcW w:type="dxa" w:w="1531"/>
          </w:tcPr>
          <w:p>
            <w:pPr>
              <w:spacing w:after="100" w:before="100"/>
            </w:pPr>
            <w:r>
              <w:rPr>
                <w:b w:val="0"/>
                <w:sz w:val="18"/>
              </w:rPr>
              <w:t>50</w:t>
            </w:r>
          </w:p>
        </w:tc>
        <w:tc>
          <w:tcPr>
            <w:tcW w:type="dxa" w:w="1191"/>
          </w:tcPr>
          <w:p>
            <w:pPr>
              <w:spacing w:after="100" w:before="100"/>
            </w:pPr>
            <w:r>
              <w:rPr>
                <w:b w:val="0"/>
                <w:sz w:val="18"/>
              </w:rPr>
              <w:t>0,5015</w:t>
            </w:r>
          </w:p>
        </w:tc>
        <w:tc>
          <w:tcPr>
            <w:tcW w:type="dxa" w:w="1191"/>
          </w:tcPr>
          <w:p>
            <w:pPr>
              <w:spacing w:after="100" w:before="100"/>
            </w:pPr>
            <w:r>
              <w:rPr>
                <w:b w:val="0"/>
                <w:sz w:val="18"/>
              </w:rPr>
              <w:t>0,8377</w:t>
            </w:r>
          </w:p>
        </w:tc>
        <w:tc>
          <w:tcPr>
            <w:tcW w:type="dxa" w:w="1077"/>
          </w:tcPr>
          <w:p>
            <w:pPr>
              <w:spacing w:after="100" w:before="100"/>
            </w:pPr>
            <w:r>
              <w:rPr>
                <w:b w:val="0"/>
                <w:sz w:val="18"/>
              </w:rPr>
              <w:t>0,9130</w:t>
            </w:r>
          </w:p>
        </w:tc>
      </w:tr>
    </w:tbl>
    <w:p>
      <w:r>
        <w:t>MAE et RMSE : en L/100 km, une valeur plus faible est préférable. R² : sans unité, une valeur plus proche de 1 est préférable. Les scores sont arrondis à quatre décimales.</w:t>
      </w:r>
    </w:p>
    <w:p>
      <w:pPr>
        <w:pStyle w:val="Heading2"/>
      </w:pPr>
      <w:r>
        <w:t>Choix du champion</w:t>
      </w:r>
    </w:p>
    <w:p>
      <w:r>
        <w:t>Nous avons choisi la configuration avec 200 arbres et une profondeur maximale de 30, car elle obtient la plus faible RMSE de validation : 0,8329 L/100 km. La RMSE est notre critère principal, car elle donne davantage de poids aux grosses erreurs.</w:t>
      </w:r>
    </w:p>
    <w:p>
      <w:r>
        <w:t>Avec 200 arbres, les profondeurs maximales de 40 et 50 donnent exactement les mêmes scores que 30. Les augmenter n’apporte donc aucun gain mesuré. La configuration avec 500 arbres et une profondeur maximale de 50 donne une RMSE légèrement plus élevée.</w:t>
      </w:r>
    </w:p>
    <w:p>
      <w:r>
        <w:t>Les configurations à 100 arbres et une profondeur maximale de 20 et à 200 arbres et une profondeur maximale de 30 sont très proches. Le choix du champion ne signifie donc pas une amélioration importante par rapport à tous les autres essais.</w:t>
      </w:r>
    </w:p>
    <w:p>
      <w:pPr>
        <w:pStyle w:val="Heading2"/>
      </w:pPr>
      <w:r>
        <w:t>Limites et améliorations possibles</w:t>
      </w:r>
    </w:p>
    <w:p>
      <w:pPr/>
      <w:r>
        <w:t>Sur le test final, l’erreur absolue moyenne est de 0,59 L/100 km. Certaines prédictions s’écartent davantage de la valeur réelle. Les résultats sur 2024 ne garantissent pas la même précision pour toutes les années suivantes. Augmenter le nombre d’arbres ou la profondeur maximale n’améliore pas toujours les scores.</w:t>
      </w:r>
    </w:p>
    <w:p>
      <w:pPr/>
      <w:r>
        <w:t>Pour améliorer le modèle, nous pourrions comparer d’autres algorithmes et ajouter des données plus récentes et représentatives. Ces pistes restent à tester : elles ne garantissent pas de meilleurs résultats.</w:t>
      </w:r>
    </w:p>
    <w:p>
      <w:r>
        <w:br w:type="page"/>
      </w:r>
    </w:p>
    <w:p>
      <w:pPr>
        <w:pStyle w:val="Heading1"/>
      </w:pPr>
      <w:r>
        <w:t>Comparaison des modèles de classification</w:t>
      </w:r>
    </w:p>
    <w:p>
      <w:r>
        <w:t>Nous utilisons H2O AutoML pour prédire la classe de note de smog : Note faible, Note moyenne ou Note elevee. AutoML entraîne plusieurs modèles et les compare. Chaque run MLflow enregistre le meilleur modèle de cet essai et son logloss de validation.</w:t>
      </w:r>
    </w:p>
    <w:p>
      <w:r>
        <w:t>Nous avons testé 6 configurations en faisant varier max_models (5, 10 ou 20) et balance_classes (True ou False). Le premier paramètre règle le budget de recherche d’AutoML. Le second active ou désactive l’équilibrage des classes pour les algorithmes qui le prennent en charge. La valeur seed reste à 42.</w:t>
      </w:r>
    </w:p>
    <w:p>
      <w:r>
        <w:t>Tous les scores du tableau sont calculés sur les mêmes 919 observations de validation de 2023. Une valeur plus faible du logloss est préférable : cette métrique pénalise les probabilités trop faibles données à la bonne classe, surtout lorsque le modèle se trompe avec confiance.</w:t>
      </w:r>
    </w:p>
    <w:tbl>
      <w:tblPr>
        <w:tblStyle w:val="TableGrid"/>
        <w:tblW w:type="auto" w:w="0"/>
        <w:tblLayout w:type="fixed"/>
        <w:tblLook w:firstColumn="1" w:firstRow="1" w:lastColumn="0" w:lastRow="0" w:noHBand="0" w:noVBand="1" w:val="04A0"/>
      </w:tblPr>
      <w:tblGrid>
        <w:gridCol w:w="3969"/>
        <w:gridCol w:w="1417"/>
        <w:gridCol w:w="1871"/>
        <w:gridCol w:w="1474"/>
      </w:tblGrid>
      <w:tr>
        <w:tc>
          <w:tcPr>
            <w:tcW w:type="dxa" w:w="3969"/>
            <w:shd w:fill="E8EEF5"/>
          </w:tcPr>
          <w:p>
            <w:pPr>
              <w:spacing w:after="100" w:before="100"/>
            </w:pPr>
            <w:r>
              <w:rPr>
                <w:b/>
                <w:sz w:val="18"/>
              </w:rPr>
              <w:t>Run</w:t>
            </w:r>
          </w:p>
        </w:tc>
        <w:tc>
          <w:tcPr>
            <w:tcW w:type="dxa" w:w="1417"/>
            <w:shd w:fill="E8EEF5"/>
          </w:tcPr>
          <w:p>
            <w:pPr>
              <w:spacing w:after="100" w:before="100"/>
            </w:pPr>
            <w:r>
              <w:rPr>
                <w:b/>
                <w:sz w:val="18"/>
              </w:rPr>
              <w:t>max_models</w:t>
            </w:r>
          </w:p>
        </w:tc>
        <w:tc>
          <w:tcPr>
            <w:tcW w:type="dxa" w:w="1871"/>
            <w:shd w:fill="E8EEF5"/>
          </w:tcPr>
          <w:p>
            <w:pPr>
              <w:spacing w:after="100" w:before="100"/>
            </w:pPr>
            <w:r>
              <w:rPr>
                <w:b/>
                <w:sz w:val="18"/>
              </w:rPr>
              <w:t>balance_classes</w:t>
            </w:r>
          </w:p>
        </w:tc>
        <w:tc>
          <w:tcPr>
            <w:tcW w:type="dxa" w:w="1474"/>
            <w:shd w:fill="E8EEF5"/>
          </w:tcPr>
          <w:p>
            <w:pPr>
              <w:spacing w:after="100" w:before="100"/>
            </w:pPr>
            <w:r>
              <w:rPr>
                <w:b/>
                <w:sz w:val="18"/>
              </w:rPr>
              <w:t>Logloss de</w:t>
              <w:br/>
              <w:t>validation</w:t>
            </w:r>
          </w:p>
        </w:tc>
      </w:tr>
      <w:tr>
        <w:tc>
          <w:tcPr>
            <w:tcW w:type="dxa" w:w="3969"/>
          </w:tcPr>
          <w:p>
            <w:pPr>
              <w:spacing w:after="100" w:before="100"/>
            </w:pPr>
            <w:r>
              <w:rPr>
                <w:b w:val="0"/>
                <w:sz w:val="18"/>
              </w:rPr>
              <w:t>automl_5_balance_True</w:t>
            </w:r>
          </w:p>
        </w:tc>
        <w:tc>
          <w:tcPr>
            <w:tcW w:type="dxa" w:w="1417"/>
          </w:tcPr>
          <w:p>
            <w:pPr>
              <w:spacing w:after="100" w:before="100"/>
            </w:pPr>
            <w:r>
              <w:rPr>
                <w:b w:val="0"/>
                <w:sz w:val="18"/>
              </w:rPr>
              <w:t>5</w:t>
            </w:r>
          </w:p>
        </w:tc>
        <w:tc>
          <w:tcPr>
            <w:tcW w:type="dxa" w:w="1871"/>
          </w:tcPr>
          <w:p>
            <w:pPr>
              <w:spacing w:after="100" w:before="100"/>
            </w:pPr>
            <w:r>
              <w:rPr>
                <w:b w:val="0"/>
                <w:sz w:val="18"/>
              </w:rPr>
              <w:t>True</w:t>
            </w:r>
          </w:p>
        </w:tc>
        <w:tc>
          <w:tcPr>
            <w:tcW w:type="dxa" w:w="1474"/>
          </w:tcPr>
          <w:p>
            <w:pPr>
              <w:spacing w:after="100" w:before="100"/>
            </w:pPr>
            <w:r>
              <w:rPr>
                <w:b w:val="0"/>
                <w:sz w:val="18"/>
              </w:rPr>
              <w:t>0,4671</w:t>
            </w:r>
          </w:p>
        </w:tc>
      </w:tr>
      <w:tr>
        <w:tc>
          <w:tcPr>
            <w:tcW w:type="dxa" w:w="3969"/>
          </w:tcPr>
          <w:p>
            <w:pPr>
              <w:spacing w:after="100" w:before="100"/>
            </w:pPr>
            <w:r>
              <w:rPr>
                <w:b w:val="0"/>
                <w:sz w:val="18"/>
              </w:rPr>
              <w:t>automl_5_balance_False</w:t>
            </w:r>
          </w:p>
        </w:tc>
        <w:tc>
          <w:tcPr>
            <w:tcW w:type="dxa" w:w="1417"/>
          </w:tcPr>
          <w:p>
            <w:pPr>
              <w:spacing w:after="100" w:before="100"/>
            </w:pPr>
            <w:r>
              <w:rPr>
                <w:b w:val="0"/>
                <w:sz w:val="18"/>
              </w:rPr>
              <w:t>5</w:t>
            </w:r>
          </w:p>
        </w:tc>
        <w:tc>
          <w:tcPr>
            <w:tcW w:type="dxa" w:w="1871"/>
          </w:tcPr>
          <w:p>
            <w:pPr>
              <w:spacing w:after="100" w:before="100"/>
            </w:pPr>
            <w:r>
              <w:rPr>
                <w:b w:val="0"/>
                <w:sz w:val="18"/>
              </w:rPr>
              <w:t>False</w:t>
            </w:r>
          </w:p>
        </w:tc>
        <w:tc>
          <w:tcPr>
            <w:tcW w:type="dxa" w:w="1474"/>
          </w:tcPr>
          <w:p>
            <w:pPr>
              <w:spacing w:after="100" w:before="100"/>
            </w:pPr>
            <w:r>
              <w:rPr>
                <w:b w:val="0"/>
                <w:sz w:val="18"/>
              </w:rPr>
              <w:t>0,4671</w:t>
            </w:r>
          </w:p>
        </w:tc>
      </w:tr>
      <w:tr>
        <w:tc>
          <w:tcPr>
            <w:tcW w:type="dxa" w:w="3969"/>
          </w:tcPr>
          <w:p>
            <w:pPr>
              <w:spacing w:after="100" w:before="100"/>
            </w:pPr>
            <w:r>
              <w:rPr>
                <w:b w:val="0"/>
                <w:sz w:val="18"/>
              </w:rPr>
              <w:t>automl_10_balance_True</w:t>
            </w:r>
          </w:p>
        </w:tc>
        <w:tc>
          <w:tcPr>
            <w:tcW w:type="dxa" w:w="1417"/>
          </w:tcPr>
          <w:p>
            <w:pPr>
              <w:spacing w:after="100" w:before="100"/>
            </w:pPr>
            <w:r>
              <w:rPr>
                <w:b w:val="0"/>
                <w:sz w:val="18"/>
              </w:rPr>
              <w:t>10</w:t>
            </w:r>
          </w:p>
        </w:tc>
        <w:tc>
          <w:tcPr>
            <w:tcW w:type="dxa" w:w="1871"/>
          </w:tcPr>
          <w:p>
            <w:pPr>
              <w:spacing w:after="100" w:before="100"/>
            </w:pPr>
            <w:r>
              <w:rPr>
                <w:b w:val="0"/>
                <w:sz w:val="18"/>
              </w:rPr>
              <w:t>True</w:t>
            </w:r>
          </w:p>
        </w:tc>
        <w:tc>
          <w:tcPr>
            <w:tcW w:type="dxa" w:w="1474"/>
          </w:tcPr>
          <w:p>
            <w:pPr>
              <w:spacing w:after="100" w:before="100"/>
            </w:pPr>
            <w:r>
              <w:rPr>
                <w:b w:val="0"/>
                <w:sz w:val="18"/>
              </w:rPr>
              <w:t>0,4671</w:t>
            </w:r>
          </w:p>
        </w:tc>
      </w:tr>
      <w:tr>
        <w:tc>
          <w:tcPr>
            <w:tcW w:type="dxa" w:w="3969"/>
          </w:tcPr>
          <w:p>
            <w:pPr>
              <w:spacing w:after="100" w:before="100"/>
            </w:pPr>
            <w:r>
              <w:rPr>
                <w:b w:val="0"/>
                <w:sz w:val="18"/>
              </w:rPr>
              <w:t>automl_10_balance_False</w:t>
            </w:r>
          </w:p>
        </w:tc>
        <w:tc>
          <w:tcPr>
            <w:tcW w:type="dxa" w:w="1417"/>
          </w:tcPr>
          <w:p>
            <w:pPr>
              <w:spacing w:after="100" w:before="100"/>
            </w:pPr>
            <w:r>
              <w:rPr>
                <w:b w:val="0"/>
                <w:sz w:val="18"/>
              </w:rPr>
              <w:t>10</w:t>
            </w:r>
          </w:p>
        </w:tc>
        <w:tc>
          <w:tcPr>
            <w:tcW w:type="dxa" w:w="1871"/>
          </w:tcPr>
          <w:p>
            <w:pPr>
              <w:spacing w:after="100" w:before="100"/>
            </w:pPr>
            <w:r>
              <w:rPr>
                <w:b w:val="0"/>
                <w:sz w:val="18"/>
              </w:rPr>
              <w:t>False</w:t>
            </w:r>
          </w:p>
        </w:tc>
        <w:tc>
          <w:tcPr>
            <w:tcW w:type="dxa" w:w="1474"/>
          </w:tcPr>
          <w:p>
            <w:pPr>
              <w:spacing w:after="100" w:before="100"/>
            </w:pPr>
            <w:r>
              <w:rPr>
                <w:b w:val="0"/>
                <w:sz w:val="18"/>
              </w:rPr>
              <w:t>0,4671</w:t>
            </w:r>
          </w:p>
        </w:tc>
      </w:tr>
      <w:tr>
        <w:tc>
          <w:tcPr>
            <w:tcW w:type="dxa" w:w="3969"/>
          </w:tcPr>
          <w:p>
            <w:pPr>
              <w:spacing w:after="100" w:before="100"/>
            </w:pPr>
            <w:r>
              <w:rPr>
                <w:b w:val="0"/>
                <w:sz w:val="18"/>
              </w:rPr>
              <w:t>automl_20_balance_True</w:t>
            </w:r>
          </w:p>
        </w:tc>
        <w:tc>
          <w:tcPr>
            <w:tcW w:type="dxa" w:w="1417"/>
          </w:tcPr>
          <w:p>
            <w:pPr>
              <w:spacing w:after="100" w:before="100"/>
            </w:pPr>
            <w:r>
              <w:rPr>
                <w:b w:val="0"/>
                <w:sz w:val="18"/>
              </w:rPr>
              <w:t>20</w:t>
            </w:r>
          </w:p>
        </w:tc>
        <w:tc>
          <w:tcPr>
            <w:tcW w:type="dxa" w:w="1871"/>
          </w:tcPr>
          <w:p>
            <w:pPr>
              <w:spacing w:after="100" w:before="100"/>
            </w:pPr>
            <w:r>
              <w:rPr>
                <w:b w:val="0"/>
                <w:sz w:val="18"/>
              </w:rPr>
              <w:t>True</w:t>
            </w:r>
          </w:p>
        </w:tc>
        <w:tc>
          <w:tcPr>
            <w:tcW w:type="dxa" w:w="1474"/>
          </w:tcPr>
          <w:p>
            <w:pPr>
              <w:spacing w:after="100" w:before="100"/>
            </w:pPr>
            <w:r>
              <w:rPr>
                <w:b w:val="0"/>
                <w:sz w:val="18"/>
              </w:rPr>
              <w:t>0,4671</w:t>
            </w:r>
          </w:p>
        </w:tc>
      </w:tr>
      <w:tr>
        <w:tc>
          <w:tcPr>
            <w:tcW w:type="dxa" w:w="3969"/>
          </w:tcPr>
          <w:p>
            <w:pPr>
              <w:spacing w:after="100" w:before="100"/>
            </w:pPr>
            <w:r>
              <w:rPr>
                <w:b w:val="0"/>
                <w:sz w:val="18"/>
              </w:rPr>
              <w:t>automl_20_balance_False</w:t>
            </w:r>
          </w:p>
        </w:tc>
        <w:tc>
          <w:tcPr>
            <w:tcW w:type="dxa" w:w="1417"/>
          </w:tcPr>
          <w:p>
            <w:pPr>
              <w:spacing w:after="100" w:before="100"/>
            </w:pPr>
            <w:r>
              <w:rPr>
                <w:b w:val="0"/>
                <w:sz w:val="18"/>
              </w:rPr>
              <w:t>20</w:t>
            </w:r>
          </w:p>
        </w:tc>
        <w:tc>
          <w:tcPr>
            <w:tcW w:type="dxa" w:w="1871"/>
          </w:tcPr>
          <w:p>
            <w:pPr>
              <w:spacing w:after="100" w:before="100"/>
            </w:pPr>
            <w:r>
              <w:rPr>
                <w:b w:val="0"/>
                <w:sz w:val="18"/>
              </w:rPr>
              <w:t>False</w:t>
            </w:r>
          </w:p>
        </w:tc>
        <w:tc>
          <w:tcPr>
            <w:tcW w:type="dxa" w:w="1474"/>
          </w:tcPr>
          <w:p>
            <w:pPr>
              <w:spacing w:after="100" w:before="100"/>
            </w:pPr>
            <w:r>
              <w:rPr>
                <w:b w:val="0"/>
                <w:sz w:val="18"/>
              </w:rPr>
              <w:t>0,4671</w:t>
            </w:r>
          </w:p>
        </w:tc>
      </w:tr>
    </w:tbl>
    <w:p>
      <w:r>
        <w:t>Les six essais obtiennent exactement le même logloss enregistré dans MLflow : environ 0,4671. Ce n’est pas seulement un effet de l’arrondi. Cela ne signifie pas que tous les modèles testés par AutoML sont identiques : le tableau compare uniquement le meilleur modèle de chaque essai.</w:t>
      </w:r>
    </w:p>
    <w:p>
      <w:pPr>
        <w:pStyle w:val="Heading2"/>
      </w:pPr>
      <w:r>
        <w:t>Choix du champion</w:t>
      </w:r>
    </w:p>
    <w:p>
      <w:r>
        <w:t>Nous avons conservé le modèle XGBoost du premier run « automl+classification », obtenu avec max_models=5 et balance_classes=True. Son logloss de validation est également de 0,4671. Les six essais suivants n’ont donc pas montré d’amélioration sur notre critère de sélection.</w:t>
      </w:r>
    </w:p>
    <w:p>
      <w:r>
        <w:t>Ce modèle est enregistré dans MLflow sous le nom « classification », version 1, avec l’alias « champion ». Le test final de 2024 sert ensuite à évaluer ce modèle, pas à le choisir.</w:t>
      </w:r>
    </w:p>
    <w:p>
      <w:pPr>
        <w:pStyle w:val="Heading2"/>
      </w:pPr>
      <w:r>
        <w:t>Limites et améliorations possibles</w:t>
      </w:r>
    </w:p>
    <w:p>
      <w:r>
        <w:t>Sur le test final, environ 73 % des observations sont correctement classées. Le modèle reconnaît seulement 56,5 % des observations de la classe « Note elevee » : 120 sur 299 sont classées à tort comme « Note moyenne ». Un bon score global ne signifie donc pas que toutes les classes sont bien reconnues.</w:t>
      </w:r>
    </w:p>
    <w:p>
      <w:r>
        <w:t>Des exemples d’entraînement plus représentatifs et des variables explicatives supplémentaires, disponibles au moment de la prédiction, pourraient aider à mieux distinguer les classes. Augmenter max_models ou activer balance_classes n’a pas amélioré le meilleur logloss de validation dans nos essais.</w:t>
      </w:r>
    </w:p>
    <w:p>
      <w:r>
        <w:t>Pour les deux modèles, les nouvelles configurations seraient comparées sur les données de validation. Le test final déjà consulté ne doit pas servir à ajuster les paramètres. Une nouvelle évaluation indépendante serait nécessaire pour vérifier les améliorations.</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lang w:val="fr-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