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line="480" w:lineRule="auto" w:after="0"/>
        <w:ind w:left="720" w:hanging="720"/>
      </w:pPr>
      <w:r>
        <w:t>Cooper, Z., Craig, S. V., Epanomeritakis, A., Grennan, M., Martinez, J. R., Scott Morton, F., &amp; Swanson, A. T. (2025). Are hospital acquisitions of physician practices anticompetitive? (NBER Working Paper No. 34039). National Bureau of Economic Research. https://www.nber.org/papers/w34039</w:t>
      </w:r>
    </w:p>
    <w:p>
      <w:pPr>
        <w:spacing w:line="480" w:lineRule="auto" w:after="0"/>
        <w:ind w:left="720" w:hanging="720"/>
      </w:pPr>
      <w:r>
        <w:t>Federal Trade Commission. (2022, February 17). FTC and Rhode Island Attorney General step in to block merger of Rhode Island’s two largest healthcare providers. https://www.ftc.gov/news-events/news/press-releases/2022/02/ftc-rhode-island-attorney-general-step-block-merger-rhode-islands-two-largest-healthcare-providers</w:t>
      </w:r>
    </w:p>
    <w:p>
      <w:pPr>
        <w:spacing w:line="480" w:lineRule="auto" w:after="0"/>
        <w:ind w:left="720" w:hanging="720"/>
      </w:pPr>
      <w:r>
        <w:t>Federal Trade Commission. (2022, August 15). FTC policy perspectives on certificates of public advantage [Staff policy paper].</w:t>
      </w:r>
    </w:p>
    <w:p>
      <w:pPr>
        <w:spacing w:line="480" w:lineRule="auto" w:after="0"/>
        <w:ind w:left="720" w:hanging="720"/>
      </w:pPr>
      <w:r>
        <w:t>Gaynor, M., &amp; Haas-Wilson, D. (1999). Change, consolidation, and competition in health care markets. Journal of Economic Perspectives, 13(1), 141–164. https://doi.org/10.1257/jep.13.1.141</w:t>
      </w:r>
    </w:p>
    <w:p>
      <w:pPr>
        <w:spacing w:line="480" w:lineRule="auto" w:after="0"/>
        <w:ind w:left="720" w:hanging="720"/>
      </w:pPr>
      <w:r>
        <w:t>Harris, A., Philbin, S., Post, B., Jordan, N., Beestrum, M., Epstein, R., &amp; McHugh, M. (2025). Cost, quality, and utilization after hospital-physician and hospital-post acute care vertical integration: A systematic review. Medical Care Research and Review, 82(1), 3–42. https://doi.org/10.1177/10775587241247682</w:t>
      </w:r>
    </w:p>
    <w:p>
      <w:pPr>
        <w:spacing w:line="480" w:lineRule="auto" w:after="0"/>
        <w:ind w:left="720" w:hanging="720"/>
      </w:pPr>
      <w:r>
        <w:t>Kane, C. K. (2025). Physician practice characteristics in 2024: Private practices account for less than half of physicians in most specialties. American Medical Association, Policy Research Perspectives.</w:t>
      </w:r>
    </w:p>
    <w:p>
      <w:pPr>
        <w:spacing w:line="480" w:lineRule="auto" w:after="0"/>
        <w:ind w:left="720" w:hanging="720"/>
      </w:pPr>
      <w:r>
        <w:t>Saghafian, S., Song, L. D., Newhouse, J. P., Landrum, M. B., &amp; Hsu, J. (2023). The impact of vertical integration on physician behavior and healthcare delivery: Evidence from gastroenterology practices (NBER Working Paper No. 30928). National Bureau of Economic Research. https://www.nber.org/papers/w30928</w:t>
      </w:r>
    </w:p>
    <w:p>
      <w:pPr>
        <w:spacing w:line="480" w:lineRule="auto" w:after="0"/>
        <w:ind w:left="720" w:hanging="720"/>
      </w:pPr>
      <w:r>
        <w:t>Whaley, C. M., &amp; Zhao, X. (2024). The effects of physician vertical integration on referral patterns, patient welfare, and market dynamics. Journal of Public Economics, 238, 105175. https://doi.org/10.1016/j.jpubeco.2024.105175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