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49C1A9" w14:textId="77777777" w:rsidR="009245D8" w:rsidRDefault="00370AC4">
      <w:pPr>
        <w:jc w:val="center"/>
      </w:pPr>
      <w:r>
        <w:rPr>
          <w:b/>
          <w:sz w:val="30"/>
        </w:rPr>
        <w:t>Physician Integration Research Evidence Matrix — Compact Working Version</w:t>
      </w:r>
    </w:p>
    <w:p w14:paraId="4397570C" w14:textId="77777777" w:rsidR="009245D8" w:rsidRDefault="00370AC4">
      <w:pPr>
        <w:jc w:val="center"/>
      </w:pPr>
      <w:r>
        <w:rPr>
          <w:b/>
          <w:sz w:val="17"/>
        </w:rPr>
        <w:t>Research question: How has the shift from physician-owned private practice toward employment by larger healthcare organizations affected competition and healthcare prices in the United States? Do efficiencies associated with physician integration offset the effects of increased provider market power?</w:t>
      </w:r>
    </w:p>
    <w:p w14:paraId="1FF33B5B" w14:textId="77777777" w:rsidR="009245D8" w:rsidRDefault="00370AC4">
      <w:pPr>
        <w:jc w:val="center"/>
      </w:pPr>
      <w:r>
        <w:rPr>
          <w:i/>
          <w:sz w:val="16"/>
        </w:rPr>
        <w:t>Economic pathway: physician integration → potential scale/scope/coordination efficiencies → concentration &amp; referral incentives → provider bargaining/market power → prices, spending, quality, access &amp; patient welfare</w:t>
      </w:r>
    </w:p>
    <w:tbl>
      <w:tblPr>
        <w:tblW w:w="0" w:type="auto"/>
        <w:jc w:val="center"/>
        <w:tblLayout w:type="fixed"/>
        <w:tblLook w:val="04A0" w:firstRow="1" w:lastRow="0" w:firstColumn="1" w:lastColumn="0" w:noHBand="0" w:noVBand="1"/>
      </w:tblPr>
      <w:tblGrid>
        <w:gridCol w:w="2088"/>
        <w:gridCol w:w="3672"/>
        <w:gridCol w:w="2088"/>
        <w:gridCol w:w="3096"/>
        <w:gridCol w:w="1512"/>
        <w:gridCol w:w="1512"/>
        <w:gridCol w:w="2376"/>
        <w:gridCol w:w="2520"/>
        <w:gridCol w:w="2952"/>
      </w:tblGrid>
      <w:tr w:rsidR="009245D8" w14:paraId="17F23326" w14:textId="77777777">
        <w:trPr>
          <w:tblHeader/>
          <w:jc w:val="center"/>
        </w:trPr>
        <w:tc>
          <w:tcPr>
            <w:tcW w:w="2088" w:type="dxa"/>
            <w:shd w:val="clear" w:color="auto" w:fill="D9E2F3"/>
            <w:tcMar>
              <w:top w:w="55" w:type="dxa"/>
              <w:left w:w="55" w:type="dxa"/>
              <w:bottom w:w="55" w:type="dxa"/>
              <w:right w:w="55" w:type="dxa"/>
            </w:tcMar>
            <w:vAlign w:val="center"/>
          </w:tcPr>
          <w:p w14:paraId="5138DD49" w14:textId="77777777" w:rsidR="009245D8" w:rsidRDefault="00370AC4">
            <w:pPr>
              <w:jc w:val="center"/>
            </w:pPr>
            <w:r>
              <w:rPr>
                <w:b/>
                <w:sz w:val="14"/>
              </w:rPr>
              <w:t>Bucket / question</w:t>
            </w:r>
          </w:p>
        </w:tc>
        <w:tc>
          <w:tcPr>
            <w:tcW w:w="3672" w:type="dxa"/>
            <w:shd w:val="clear" w:color="auto" w:fill="D9E2F3"/>
            <w:tcMar>
              <w:top w:w="55" w:type="dxa"/>
              <w:left w:w="55" w:type="dxa"/>
              <w:bottom w:w="55" w:type="dxa"/>
              <w:right w:w="55" w:type="dxa"/>
            </w:tcMar>
            <w:vAlign w:val="center"/>
          </w:tcPr>
          <w:p w14:paraId="0D8E2173" w14:textId="77777777" w:rsidR="009245D8" w:rsidRDefault="00370AC4">
            <w:pPr>
              <w:jc w:val="center"/>
            </w:pPr>
            <w:r>
              <w:rPr>
                <w:b/>
                <w:sz w:val="14"/>
              </w:rPr>
              <w:t>Reference / citation</w:t>
            </w:r>
          </w:p>
        </w:tc>
        <w:tc>
          <w:tcPr>
            <w:tcW w:w="2088" w:type="dxa"/>
            <w:shd w:val="clear" w:color="auto" w:fill="D9E2F3"/>
            <w:tcMar>
              <w:top w:w="55" w:type="dxa"/>
              <w:left w:w="55" w:type="dxa"/>
              <w:bottom w:w="55" w:type="dxa"/>
              <w:right w:w="55" w:type="dxa"/>
            </w:tcMar>
            <w:vAlign w:val="center"/>
          </w:tcPr>
          <w:p w14:paraId="20A5E9C8" w14:textId="77777777" w:rsidR="009245D8" w:rsidRDefault="00370AC4">
            <w:pPr>
              <w:jc w:val="center"/>
            </w:pPr>
            <w:r>
              <w:rPr>
                <w:b/>
                <w:sz w:val="14"/>
              </w:rPr>
              <w:t>Economic lens</w:t>
            </w:r>
          </w:p>
        </w:tc>
        <w:tc>
          <w:tcPr>
            <w:tcW w:w="3096" w:type="dxa"/>
            <w:shd w:val="clear" w:color="auto" w:fill="D9E2F3"/>
            <w:tcMar>
              <w:top w:w="55" w:type="dxa"/>
              <w:left w:w="55" w:type="dxa"/>
              <w:bottom w:w="55" w:type="dxa"/>
              <w:right w:w="55" w:type="dxa"/>
            </w:tcMar>
            <w:vAlign w:val="center"/>
          </w:tcPr>
          <w:p w14:paraId="18066F8E" w14:textId="77777777" w:rsidR="009245D8" w:rsidRDefault="00370AC4">
            <w:pPr>
              <w:jc w:val="center"/>
            </w:pPr>
            <w:r>
              <w:rPr>
                <w:b/>
                <w:sz w:val="14"/>
              </w:rPr>
              <w:t>Evidence / useful figure</w:t>
            </w:r>
          </w:p>
        </w:tc>
        <w:tc>
          <w:tcPr>
            <w:tcW w:w="1512" w:type="dxa"/>
            <w:shd w:val="clear" w:color="auto" w:fill="D9E2F3"/>
            <w:tcMar>
              <w:top w:w="55" w:type="dxa"/>
              <w:left w:w="55" w:type="dxa"/>
              <w:bottom w:w="55" w:type="dxa"/>
              <w:right w:w="55" w:type="dxa"/>
            </w:tcMar>
            <w:vAlign w:val="center"/>
          </w:tcPr>
          <w:p w14:paraId="49F26284" w14:textId="77777777" w:rsidR="009245D8" w:rsidRDefault="00370AC4">
            <w:pPr>
              <w:jc w:val="center"/>
            </w:pPr>
            <w:r>
              <w:rPr>
                <w:b/>
                <w:sz w:val="14"/>
              </w:rPr>
              <w:t>Competition</w:t>
            </w:r>
          </w:p>
        </w:tc>
        <w:tc>
          <w:tcPr>
            <w:tcW w:w="1512" w:type="dxa"/>
            <w:shd w:val="clear" w:color="auto" w:fill="D9E2F3"/>
            <w:tcMar>
              <w:top w:w="55" w:type="dxa"/>
              <w:left w:w="55" w:type="dxa"/>
              <w:bottom w:w="55" w:type="dxa"/>
              <w:right w:w="55" w:type="dxa"/>
            </w:tcMar>
            <w:vAlign w:val="center"/>
          </w:tcPr>
          <w:p w14:paraId="72BA4A2D" w14:textId="77777777" w:rsidR="009245D8" w:rsidRDefault="00370AC4">
            <w:pPr>
              <w:jc w:val="center"/>
            </w:pPr>
            <w:r>
              <w:rPr>
                <w:b/>
                <w:sz w:val="14"/>
              </w:rPr>
              <w:t>Price / spending</w:t>
            </w:r>
          </w:p>
        </w:tc>
        <w:tc>
          <w:tcPr>
            <w:tcW w:w="2376" w:type="dxa"/>
            <w:shd w:val="clear" w:color="auto" w:fill="D9E2F3"/>
            <w:tcMar>
              <w:top w:w="55" w:type="dxa"/>
              <w:left w:w="55" w:type="dxa"/>
              <w:bottom w:w="55" w:type="dxa"/>
              <w:right w:w="55" w:type="dxa"/>
            </w:tcMar>
            <w:vAlign w:val="center"/>
          </w:tcPr>
          <w:p w14:paraId="6FBC9396" w14:textId="77777777" w:rsidR="009245D8" w:rsidRDefault="00370AC4">
            <w:pPr>
              <w:jc w:val="center"/>
            </w:pPr>
            <w:r>
              <w:rPr>
                <w:b/>
                <w:sz w:val="14"/>
              </w:rPr>
              <w:t>Efficiency / market power</w:t>
            </w:r>
          </w:p>
        </w:tc>
        <w:tc>
          <w:tcPr>
            <w:tcW w:w="2520" w:type="dxa"/>
            <w:shd w:val="clear" w:color="auto" w:fill="D9E2F3"/>
            <w:tcMar>
              <w:top w:w="55" w:type="dxa"/>
              <w:left w:w="55" w:type="dxa"/>
              <w:bottom w:w="55" w:type="dxa"/>
              <w:right w:w="55" w:type="dxa"/>
            </w:tcMar>
            <w:vAlign w:val="center"/>
          </w:tcPr>
          <w:p w14:paraId="3076C945" w14:textId="77777777" w:rsidR="009245D8" w:rsidRDefault="00370AC4">
            <w:pPr>
              <w:jc w:val="center"/>
            </w:pPr>
            <w:r>
              <w:rPr>
                <w:b/>
                <w:sz w:val="14"/>
              </w:rPr>
              <w:t>Downstream effects</w:t>
            </w:r>
          </w:p>
        </w:tc>
        <w:tc>
          <w:tcPr>
            <w:tcW w:w="2952" w:type="dxa"/>
            <w:shd w:val="clear" w:color="auto" w:fill="D9E2F3"/>
            <w:tcMar>
              <w:top w:w="55" w:type="dxa"/>
              <w:left w:w="55" w:type="dxa"/>
              <w:bottom w:w="55" w:type="dxa"/>
              <w:right w:w="55" w:type="dxa"/>
            </w:tcMar>
            <w:vAlign w:val="center"/>
          </w:tcPr>
          <w:p w14:paraId="58142592" w14:textId="77777777" w:rsidR="009245D8" w:rsidRDefault="00370AC4">
            <w:pPr>
              <w:jc w:val="center"/>
            </w:pPr>
            <w:r>
              <w:rPr>
                <w:b/>
                <w:sz w:val="14"/>
              </w:rPr>
              <w:t>Working notes / interpretation</w:t>
            </w:r>
          </w:p>
        </w:tc>
      </w:tr>
      <w:tr w:rsidR="009245D8" w14:paraId="4F6542CD" w14:textId="77777777">
        <w:trPr>
          <w:jc w:val="center"/>
        </w:trPr>
        <w:tc>
          <w:tcPr>
            <w:tcW w:w="2088" w:type="dxa"/>
            <w:tcMar>
              <w:top w:w="55" w:type="dxa"/>
              <w:left w:w="55" w:type="dxa"/>
              <w:bottom w:w="55" w:type="dxa"/>
              <w:right w:w="55" w:type="dxa"/>
            </w:tcMar>
          </w:tcPr>
          <w:p w14:paraId="41A0FBDE" w14:textId="77777777" w:rsidR="009245D8" w:rsidRDefault="00370AC4">
            <w:pPr>
              <w:spacing w:after="30" w:line="228" w:lineRule="auto"/>
            </w:pPr>
            <w:r>
              <w:rPr>
                <w:b/>
                <w:sz w:val="14"/>
              </w:rPr>
              <w:t>1. MAGNITUDE OF THE SHIFT</w:t>
            </w:r>
            <w:r>
              <w:rPr>
                <w:b/>
                <w:sz w:val="14"/>
              </w:rPr>
              <w:br/>
              <w:t>Is physician ownership declining, and why?</w:t>
            </w:r>
          </w:p>
        </w:tc>
        <w:tc>
          <w:tcPr>
            <w:tcW w:w="3672" w:type="dxa"/>
            <w:tcMar>
              <w:top w:w="55" w:type="dxa"/>
              <w:left w:w="55" w:type="dxa"/>
              <w:bottom w:w="55" w:type="dxa"/>
              <w:right w:w="55" w:type="dxa"/>
            </w:tcMar>
          </w:tcPr>
          <w:p w14:paraId="57EB3CED" w14:textId="77777777" w:rsidR="009245D8" w:rsidRDefault="00370AC4">
            <w:pPr>
              <w:spacing w:after="30" w:line="228" w:lineRule="auto"/>
            </w:pPr>
            <w:r>
              <w:rPr>
                <w:sz w:val="13"/>
              </w:rPr>
              <w:t>Aabedi, A., Wang, V., Sahafi, R., &amp; Agrawal, D. K. (2026). Shifting career landscapes: Analyzing the fall in physician-owned practices. Archives of Clinical and Medical Case Reports, 10(2), 52–59. doi:10.26502/acmcr.96550750.</w:t>
            </w:r>
          </w:p>
        </w:tc>
        <w:tc>
          <w:tcPr>
            <w:tcW w:w="2088" w:type="dxa"/>
            <w:tcMar>
              <w:top w:w="55" w:type="dxa"/>
              <w:left w:w="55" w:type="dxa"/>
              <w:bottom w:w="55" w:type="dxa"/>
              <w:right w:w="55" w:type="dxa"/>
            </w:tcMar>
          </w:tcPr>
          <w:p w14:paraId="768D42A9" w14:textId="77777777" w:rsidR="009245D8" w:rsidRDefault="00370AC4">
            <w:pPr>
              <w:spacing w:after="30" w:line="228" w:lineRule="auto"/>
            </w:pPr>
            <w:r>
              <w:rPr>
                <w:sz w:val="14"/>
              </w:rPr>
              <w:t>Labor economics; economies of scale; fixed vs. variable costs; transaction/administrative costs; vertical integration</w:t>
            </w:r>
          </w:p>
        </w:tc>
        <w:tc>
          <w:tcPr>
            <w:tcW w:w="3096" w:type="dxa"/>
            <w:tcMar>
              <w:top w:w="55" w:type="dxa"/>
              <w:left w:w="55" w:type="dxa"/>
              <w:bottom w:w="55" w:type="dxa"/>
              <w:right w:w="55" w:type="dxa"/>
            </w:tcMar>
          </w:tcPr>
          <w:p w14:paraId="2443432F" w14:textId="77777777" w:rsidR="009245D8" w:rsidRDefault="00370AC4">
            <w:pPr>
              <w:spacing w:after="30" w:line="228" w:lineRule="auto"/>
            </w:pPr>
            <w:r>
              <w:rPr>
                <w:sz w:val="14"/>
              </w:rPr>
              <w:t>Trend evidence: self-employed physicians 35.2% → 24.7% (2001–05 vs. 2011–15). Hospitals employing physicians 29% → 42% (2003–12). AMA ownership trend also discussed. No single primary figure.</w:t>
            </w:r>
          </w:p>
        </w:tc>
        <w:tc>
          <w:tcPr>
            <w:tcW w:w="1512" w:type="dxa"/>
            <w:tcMar>
              <w:top w:w="55" w:type="dxa"/>
              <w:left w:w="55" w:type="dxa"/>
              <w:bottom w:w="55" w:type="dxa"/>
              <w:right w:w="55" w:type="dxa"/>
            </w:tcMar>
          </w:tcPr>
          <w:p w14:paraId="43752A3B" w14:textId="77777777" w:rsidR="009245D8" w:rsidRDefault="00370AC4">
            <w:pPr>
              <w:spacing w:after="30" w:line="228" w:lineRule="auto"/>
            </w:pPr>
            <w:r>
              <w:rPr>
                <w:sz w:val="14"/>
              </w:rPr>
              <w:t>Likely weakens competition as consolidation reduces independent alternatives; article is a literature review rather than a causal competition study.</w:t>
            </w:r>
          </w:p>
        </w:tc>
        <w:tc>
          <w:tcPr>
            <w:tcW w:w="1512" w:type="dxa"/>
            <w:tcMar>
              <w:top w:w="55" w:type="dxa"/>
              <w:left w:w="55" w:type="dxa"/>
              <w:bottom w:w="55" w:type="dxa"/>
              <w:right w:w="55" w:type="dxa"/>
            </w:tcMar>
          </w:tcPr>
          <w:p w14:paraId="00E1F034" w14:textId="77777777" w:rsidR="009245D8" w:rsidRDefault="00370AC4">
            <w:pPr>
              <w:spacing w:after="30" w:line="228" w:lineRule="auto"/>
            </w:pPr>
            <w:r>
              <w:rPr>
                <w:sz w:val="14"/>
              </w:rPr>
              <w:t>Higher system-level costs discussed; cites hospital-owned practice spending ≈5.8% higher without quality improvement.</w:t>
            </w:r>
          </w:p>
        </w:tc>
        <w:tc>
          <w:tcPr>
            <w:tcW w:w="2376" w:type="dxa"/>
            <w:tcMar>
              <w:top w:w="55" w:type="dxa"/>
              <w:left w:w="55" w:type="dxa"/>
              <w:bottom w:w="55" w:type="dxa"/>
              <w:right w:w="55" w:type="dxa"/>
            </w:tcMar>
          </w:tcPr>
          <w:p w14:paraId="76C8BB67" w14:textId="77777777" w:rsidR="009245D8" w:rsidRDefault="00370AC4">
            <w:pPr>
              <w:spacing w:after="30" w:line="228" w:lineRule="auto"/>
            </w:pPr>
            <w:r>
              <w:rPr>
                <w:sz w:val="14"/>
              </w:rPr>
              <w:t>Efficiency: larger systems can spread EHR, billing, compliance, staffing and infrastructure costs.</w:t>
            </w:r>
            <w:r>
              <w:rPr>
                <w:sz w:val="14"/>
              </w:rPr>
              <w:br/>
              <w:t>Market power: stronger insurer bargaining leverage after consolidation.</w:t>
            </w:r>
          </w:p>
        </w:tc>
        <w:tc>
          <w:tcPr>
            <w:tcW w:w="2520" w:type="dxa"/>
            <w:tcMar>
              <w:top w:w="55" w:type="dxa"/>
              <w:left w:w="55" w:type="dxa"/>
              <w:bottom w:w="55" w:type="dxa"/>
              <w:right w:w="55" w:type="dxa"/>
            </w:tcMar>
          </w:tcPr>
          <w:p w14:paraId="0DCA4752" w14:textId="77777777" w:rsidR="009245D8" w:rsidRDefault="00370AC4">
            <w:pPr>
              <w:spacing w:after="30" w:line="228" w:lineRule="auto"/>
            </w:pPr>
            <w:r>
              <w:rPr>
                <w:sz w:val="14"/>
              </w:rPr>
              <w:t>Reduced autonomy; continuity/patient relationship concerns; access concerns; PE/hospital acquisition; burnout; alternative DPC/concierge models.</w:t>
            </w:r>
          </w:p>
        </w:tc>
        <w:tc>
          <w:tcPr>
            <w:tcW w:w="2952" w:type="dxa"/>
            <w:tcMar>
              <w:top w:w="55" w:type="dxa"/>
              <w:left w:w="55" w:type="dxa"/>
              <w:bottom w:w="55" w:type="dxa"/>
              <w:right w:w="55" w:type="dxa"/>
            </w:tcMar>
          </w:tcPr>
          <w:p w14:paraId="241EDF32" w14:textId="77777777" w:rsidR="009245D8" w:rsidRDefault="00370AC4">
            <w:pPr>
              <w:spacing w:after="30" w:line="228" w:lineRule="auto"/>
            </w:pPr>
            <w:r>
              <w:rPr>
                <w:sz w:val="14"/>
              </w:rPr>
              <w:t>Useful anchor for WHY the shift is occurring: rising overhead/labor/supply costs, administrative burden, reimbursement pressure, reduced insurer bargaining power, work-life/income stability.</w:t>
            </w:r>
          </w:p>
        </w:tc>
      </w:tr>
      <w:tr w:rsidR="009245D8" w14:paraId="6C664443" w14:textId="77777777">
        <w:trPr>
          <w:jc w:val="center"/>
        </w:trPr>
        <w:tc>
          <w:tcPr>
            <w:tcW w:w="2088" w:type="dxa"/>
            <w:shd w:val="clear" w:color="auto" w:fill="F2F6FB"/>
            <w:tcMar>
              <w:top w:w="55" w:type="dxa"/>
              <w:left w:w="55" w:type="dxa"/>
              <w:bottom w:w="55" w:type="dxa"/>
              <w:right w:w="55" w:type="dxa"/>
            </w:tcMar>
          </w:tcPr>
          <w:p w14:paraId="7AC090CE" w14:textId="77777777" w:rsidR="009245D8" w:rsidRDefault="00370AC4">
            <w:pPr>
              <w:spacing w:after="30" w:line="228" w:lineRule="auto"/>
            </w:pPr>
            <w:r>
              <w:rPr>
                <w:b/>
                <w:sz w:val="13"/>
              </w:rPr>
              <w:t>2. ECONOMIC RATIONALE / EFFICIENCIES</w:t>
            </w:r>
            <w:r>
              <w:rPr>
                <w:b/>
                <w:sz w:val="13"/>
              </w:rPr>
              <w:br/>
              <w:t>Why might integration be economically beneficial?</w:t>
            </w:r>
          </w:p>
        </w:tc>
        <w:tc>
          <w:tcPr>
            <w:tcW w:w="3672" w:type="dxa"/>
            <w:shd w:val="clear" w:color="auto" w:fill="F2F6FB"/>
            <w:tcMar>
              <w:top w:w="55" w:type="dxa"/>
              <w:left w:w="55" w:type="dxa"/>
              <w:bottom w:w="55" w:type="dxa"/>
              <w:right w:w="55" w:type="dxa"/>
            </w:tcMar>
          </w:tcPr>
          <w:p w14:paraId="488022F9" w14:textId="77777777" w:rsidR="009245D8" w:rsidRDefault="00370AC4">
            <w:pPr>
              <w:spacing w:after="30" w:line="228" w:lineRule="auto"/>
            </w:pPr>
            <w:r>
              <w:rPr>
                <w:sz w:val="13"/>
              </w:rPr>
              <w:t>Gaynor, M., &amp; Haas-Wilson, D. (1999). Change, consolidation, and competition in health care markets. Journal of Economic Perspectives, 13(1), 141–164. doi:10.1257/jep.13.1.141.</w:t>
            </w:r>
          </w:p>
        </w:tc>
        <w:tc>
          <w:tcPr>
            <w:tcW w:w="2088" w:type="dxa"/>
            <w:shd w:val="clear" w:color="auto" w:fill="F2F6FB"/>
            <w:tcMar>
              <w:top w:w="55" w:type="dxa"/>
              <w:left w:w="55" w:type="dxa"/>
              <w:bottom w:w="55" w:type="dxa"/>
              <w:right w:w="55" w:type="dxa"/>
            </w:tcMar>
          </w:tcPr>
          <w:p w14:paraId="76CA9920" w14:textId="77777777" w:rsidR="009245D8" w:rsidRDefault="00370AC4">
            <w:pPr>
              <w:spacing w:after="30" w:line="228" w:lineRule="auto"/>
            </w:pPr>
            <w:r>
              <w:rPr>
                <w:sz w:val="13"/>
              </w:rPr>
              <w:t>Economies of scale; fixed-cost spreading; risk pooling; transaction costs; vertical integration; bargaining power; barriers to entry; sunk costs; market structure</w:t>
            </w:r>
          </w:p>
        </w:tc>
        <w:tc>
          <w:tcPr>
            <w:tcW w:w="3096" w:type="dxa"/>
            <w:shd w:val="clear" w:color="auto" w:fill="F2F6FB"/>
            <w:tcMar>
              <w:top w:w="55" w:type="dxa"/>
              <w:left w:w="55" w:type="dxa"/>
              <w:bottom w:w="55" w:type="dxa"/>
              <w:right w:w="55" w:type="dxa"/>
            </w:tcMar>
          </w:tcPr>
          <w:p w14:paraId="55614554" w14:textId="77777777" w:rsidR="009245D8" w:rsidRDefault="00370AC4">
            <w:pPr>
              <w:spacing w:after="30" w:line="228" w:lineRule="auto"/>
            </w:pPr>
            <w:r>
              <w:rPr>
                <w:sz w:val="13"/>
              </w:rPr>
              <w:t>Horizontal/organizational rationale: consolidation may reduce excess capacity and consolidate administrative functions; larger groups can spread fixed monitoring/quality-assurance costs and diversify risk under capitated/risk-bearing payment. Article notes physician-practice scale economies in older literature may be exhausted at relatively small size, so efficiency is not automatic.</w:t>
            </w:r>
          </w:p>
        </w:tc>
        <w:tc>
          <w:tcPr>
            <w:tcW w:w="1512" w:type="dxa"/>
            <w:shd w:val="clear" w:color="auto" w:fill="F2F6FB"/>
            <w:tcMar>
              <w:top w:w="55" w:type="dxa"/>
              <w:left w:w="55" w:type="dxa"/>
              <w:bottom w:w="55" w:type="dxa"/>
              <w:right w:w="55" w:type="dxa"/>
            </w:tcMar>
          </w:tcPr>
          <w:p w14:paraId="0FAD8627" w14:textId="77777777" w:rsidR="009245D8" w:rsidRDefault="00370AC4">
            <w:pPr>
              <w:spacing w:after="30" w:line="228" w:lineRule="auto"/>
            </w:pPr>
            <w:r>
              <w:rPr>
                <w:sz w:val="13"/>
              </w:rPr>
              <w:t>Mixed / context-dependent. Integration may improve coordination, but fewer/larger firms can increase market power. Exclusive contracts or control of key providers can impede efficient entry.</w:t>
            </w:r>
          </w:p>
        </w:tc>
        <w:tc>
          <w:tcPr>
            <w:tcW w:w="1512" w:type="dxa"/>
            <w:shd w:val="clear" w:color="auto" w:fill="F2F6FB"/>
            <w:tcMar>
              <w:top w:w="55" w:type="dxa"/>
              <w:left w:w="55" w:type="dxa"/>
              <w:bottom w:w="55" w:type="dxa"/>
              <w:right w:w="55" w:type="dxa"/>
            </w:tcMar>
          </w:tcPr>
          <w:p w14:paraId="0F004975" w14:textId="77777777" w:rsidR="009245D8" w:rsidRDefault="00370AC4">
            <w:pPr>
              <w:spacing w:after="30" w:line="228" w:lineRule="auto"/>
            </w:pPr>
            <w:r>
              <w:rPr>
                <w:sz w:val="13"/>
              </w:rPr>
              <w:t>Ambiguous theoretically: efficiencies may lower costs, while stronger bargaining/market power may support higher prices. The article stresses that which effect dominates depends on market circumstances.</w:t>
            </w:r>
          </w:p>
        </w:tc>
        <w:tc>
          <w:tcPr>
            <w:tcW w:w="2376" w:type="dxa"/>
            <w:shd w:val="clear" w:color="auto" w:fill="F2F6FB"/>
            <w:tcMar>
              <w:top w:w="55" w:type="dxa"/>
              <w:left w:w="55" w:type="dxa"/>
              <w:bottom w:w="55" w:type="dxa"/>
              <w:right w:w="55" w:type="dxa"/>
            </w:tcMar>
          </w:tcPr>
          <w:p w14:paraId="190EC554" w14:textId="77777777" w:rsidR="009245D8" w:rsidRDefault="00370AC4">
            <w:pPr>
              <w:spacing w:after="30" w:line="228" w:lineRule="auto"/>
            </w:pPr>
            <w:r>
              <w:rPr>
                <w:sz w:val="13"/>
              </w:rPr>
              <w:t>Efficiency: vertical mergers/long-term contracts may lower transaction costs of contracting among physicians, hospitals and insurers; aligned incentives may improve monitoring/control of utilization and quality; larger networks may spread fixed monitoring costs and pool risk.</w:t>
            </w:r>
            <w:r>
              <w:rPr>
                <w:sz w:val="13"/>
              </w:rPr>
              <w:br/>
              <w:t>Market power: consolidation may improve providers' bargaining position relative to insurers.</w:t>
            </w:r>
          </w:p>
        </w:tc>
        <w:tc>
          <w:tcPr>
            <w:tcW w:w="2520" w:type="dxa"/>
            <w:shd w:val="clear" w:color="auto" w:fill="F2F6FB"/>
            <w:tcMar>
              <w:top w:w="55" w:type="dxa"/>
              <w:left w:w="55" w:type="dxa"/>
              <w:bottom w:w="55" w:type="dxa"/>
              <w:right w:w="55" w:type="dxa"/>
            </w:tcMar>
          </w:tcPr>
          <w:p w14:paraId="66B4E75A" w14:textId="77777777" w:rsidR="009245D8" w:rsidRDefault="00370AC4">
            <w:pPr>
              <w:spacing w:after="30" w:line="228" w:lineRule="auto"/>
            </w:pPr>
            <w:r>
              <w:rPr>
                <w:sz w:val="13"/>
              </w:rPr>
              <w:t>Barriers to entry; potential foreclosure; reduced consumer choice; antitrust concerns; effects on quality/innovation. Sunk costs include building provider networks and compatible information systems for billing, utilization management and quality assurance.</w:t>
            </w:r>
          </w:p>
        </w:tc>
        <w:tc>
          <w:tcPr>
            <w:tcW w:w="2952" w:type="dxa"/>
            <w:shd w:val="clear" w:color="auto" w:fill="F2F6FB"/>
            <w:tcMar>
              <w:top w:w="55" w:type="dxa"/>
              <w:left w:w="55" w:type="dxa"/>
              <w:bottom w:w="55" w:type="dxa"/>
              <w:right w:w="55" w:type="dxa"/>
            </w:tcMar>
          </w:tcPr>
          <w:p w14:paraId="451C5E9B" w14:textId="77777777" w:rsidR="009245D8" w:rsidRDefault="00370AC4">
            <w:pPr>
              <w:spacing w:after="30" w:line="228" w:lineRule="auto"/>
            </w:pPr>
            <w:r>
              <w:rPr>
                <w:sz w:val="13"/>
              </w:rPr>
              <w:t>IMPORTANT CROSS-BUCKET SOURCE (Buckets 2, 3, 4 and 5). Reasons for consolidation/integration include: (1) excess capacity/cost rationalization; (2) risk sharing under capitated or risk-bearing payment; (3) spreading fixed costs of utilization/quality monitoring; (4) selective contracting and concern about exclusion from major networks; (5) improving bargaining position with insurers; (6) lowering transaction costs through vertical integration; and (7) aligning incentives for utilization/quality management. Countervailing mechanism: absolute cost advantages, sunk costs, exclusive contracts and other strategic behavior can create entry barriers and strengthen market power. Authors explicitly state that economic theory does not establish that vertical consolidation necessarily improves efficiency—the circumstances determine whether efficiency or market power dominates.</w:t>
            </w:r>
          </w:p>
        </w:tc>
      </w:tr>
      <w:tr w:rsidR="009245D8" w14:paraId="50C40C0D" w14:textId="77777777">
        <w:trPr>
          <w:jc w:val="center"/>
        </w:trPr>
        <w:tc>
          <w:tcPr>
            <w:tcW w:w="2088" w:type="dxa"/>
            <w:tcMar>
              <w:top w:w="55" w:type="dxa"/>
              <w:left w:w="55" w:type="dxa"/>
              <w:bottom w:w="55" w:type="dxa"/>
              <w:right w:w="55" w:type="dxa"/>
            </w:tcMar>
          </w:tcPr>
          <w:p w14:paraId="2A55A405" w14:textId="77777777" w:rsidR="009245D8" w:rsidRDefault="00370AC4">
            <w:pPr>
              <w:spacing w:after="30" w:line="228" w:lineRule="auto"/>
            </w:pPr>
            <w:r>
              <w:rPr>
                <w:b/>
                <w:sz w:val="14"/>
              </w:rPr>
              <w:t>3. COMPETITION / CONCENTRATION</w:t>
            </w:r>
            <w:r>
              <w:rPr>
                <w:b/>
                <w:sz w:val="14"/>
              </w:rPr>
              <w:br/>
              <w:t>Does acquisition change market structure?</w:t>
            </w:r>
          </w:p>
        </w:tc>
        <w:tc>
          <w:tcPr>
            <w:tcW w:w="3672" w:type="dxa"/>
            <w:tcMar>
              <w:top w:w="55" w:type="dxa"/>
              <w:left w:w="55" w:type="dxa"/>
              <w:bottom w:w="55" w:type="dxa"/>
              <w:right w:w="55" w:type="dxa"/>
            </w:tcMar>
          </w:tcPr>
          <w:p w14:paraId="32821A06" w14:textId="77777777" w:rsidR="009245D8" w:rsidRDefault="00370AC4">
            <w:pPr>
              <w:spacing w:after="30" w:line="228" w:lineRule="auto"/>
            </w:pPr>
            <w:r>
              <w:rPr>
                <w:sz w:val="13"/>
              </w:rPr>
              <w:t>Gale, A. H. (2015). Bigger but not better: Hospital mergers increase costs and do not improve quality. Missouri Medicine, 112(1), 4–5.</w:t>
            </w:r>
          </w:p>
        </w:tc>
        <w:tc>
          <w:tcPr>
            <w:tcW w:w="2088" w:type="dxa"/>
            <w:tcMar>
              <w:top w:w="55" w:type="dxa"/>
              <w:left w:w="55" w:type="dxa"/>
              <w:bottom w:w="55" w:type="dxa"/>
              <w:right w:w="55" w:type="dxa"/>
            </w:tcMar>
          </w:tcPr>
          <w:p w14:paraId="442D3996" w14:textId="77777777" w:rsidR="009245D8" w:rsidRDefault="00370AC4">
            <w:pPr>
              <w:spacing w:after="30" w:line="228" w:lineRule="auto"/>
            </w:pPr>
            <w:r>
              <w:rPr>
                <w:sz w:val="14"/>
              </w:rPr>
              <w:t>Competition; market concentration; monopoly/market power; antitrust</w:t>
            </w:r>
          </w:p>
        </w:tc>
        <w:tc>
          <w:tcPr>
            <w:tcW w:w="3096" w:type="dxa"/>
            <w:tcMar>
              <w:top w:w="55" w:type="dxa"/>
              <w:left w:w="55" w:type="dxa"/>
              <w:bottom w:w="55" w:type="dxa"/>
              <w:right w:w="55" w:type="dxa"/>
            </w:tcMar>
          </w:tcPr>
          <w:p w14:paraId="16070E6E" w14:textId="77777777" w:rsidR="009245D8" w:rsidRDefault="00370AC4">
            <w:pPr>
              <w:spacing w:after="30" w:line="228" w:lineRule="auto"/>
            </w:pPr>
            <w:r>
              <w:rPr>
                <w:sz w:val="14"/>
              </w:rPr>
              <w:t>Editorial summarizes prior evidence; cites FTC/RWJF findings. Best used as contextual commentary, not a core causal study.</w:t>
            </w:r>
          </w:p>
        </w:tc>
        <w:tc>
          <w:tcPr>
            <w:tcW w:w="1512" w:type="dxa"/>
            <w:tcMar>
              <w:top w:w="55" w:type="dxa"/>
              <w:left w:w="55" w:type="dxa"/>
              <w:bottom w:w="55" w:type="dxa"/>
              <w:right w:w="55" w:type="dxa"/>
            </w:tcMar>
          </w:tcPr>
          <w:p w14:paraId="27C14AC2" w14:textId="77777777" w:rsidR="009245D8" w:rsidRDefault="00370AC4">
            <w:pPr>
              <w:spacing w:after="30" w:line="228" w:lineRule="auto"/>
            </w:pPr>
            <w:r>
              <w:rPr>
                <w:sz w:val="14"/>
              </w:rPr>
              <w:t>Weakens competition according to cited merger literature.</w:t>
            </w:r>
          </w:p>
        </w:tc>
        <w:tc>
          <w:tcPr>
            <w:tcW w:w="1512" w:type="dxa"/>
            <w:tcMar>
              <w:top w:w="55" w:type="dxa"/>
              <w:left w:w="55" w:type="dxa"/>
              <w:bottom w:w="55" w:type="dxa"/>
              <w:right w:w="55" w:type="dxa"/>
            </w:tcMar>
          </w:tcPr>
          <w:p w14:paraId="3D5DC22D" w14:textId="77777777" w:rsidR="009245D8" w:rsidRDefault="00370AC4">
            <w:pPr>
              <w:spacing w:after="30" w:line="228" w:lineRule="auto"/>
            </w:pPr>
            <w:r>
              <w:rPr>
                <w:sz w:val="14"/>
              </w:rPr>
              <w:t>Increase: editorial reports higher prices after hospital consolidation.</w:t>
            </w:r>
          </w:p>
        </w:tc>
        <w:tc>
          <w:tcPr>
            <w:tcW w:w="2376" w:type="dxa"/>
            <w:tcMar>
              <w:top w:w="55" w:type="dxa"/>
              <w:left w:w="55" w:type="dxa"/>
              <w:bottom w:w="55" w:type="dxa"/>
              <w:right w:w="55" w:type="dxa"/>
            </w:tcMar>
          </w:tcPr>
          <w:p w14:paraId="50EF200C" w14:textId="77777777" w:rsidR="009245D8" w:rsidRDefault="00370AC4">
            <w:pPr>
              <w:spacing w:after="30" w:line="228" w:lineRule="auto"/>
            </w:pPr>
            <w:r>
              <w:rPr>
                <w:sz w:val="14"/>
              </w:rPr>
              <w:t>Efficiency: argues physician-hospital consolidation has not reliably reduced costs.</w:t>
            </w:r>
            <w:r>
              <w:rPr>
                <w:sz w:val="14"/>
              </w:rPr>
              <w:br/>
              <w:t>Market power: consolidation enhances bargaining power with payers.</w:t>
            </w:r>
          </w:p>
        </w:tc>
        <w:tc>
          <w:tcPr>
            <w:tcW w:w="2520" w:type="dxa"/>
            <w:tcMar>
              <w:top w:w="55" w:type="dxa"/>
              <w:left w:w="55" w:type="dxa"/>
              <w:bottom w:w="55" w:type="dxa"/>
              <w:right w:w="55" w:type="dxa"/>
            </w:tcMar>
          </w:tcPr>
          <w:p w14:paraId="00AD5530" w14:textId="77777777" w:rsidR="009245D8" w:rsidRDefault="00370AC4">
            <w:pPr>
              <w:spacing w:after="30" w:line="228" w:lineRule="auto"/>
            </w:pPr>
            <w:r>
              <w:rPr>
                <w:sz w:val="14"/>
              </w:rPr>
              <w:t>Antitrust scrutiny; patient choice/access; quality concerns.</w:t>
            </w:r>
          </w:p>
        </w:tc>
        <w:tc>
          <w:tcPr>
            <w:tcW w:w="2952" w:type="dxa"/>
            <w:tcMar>
              <w:top w:w="55" w:type="dxa"/>
              <w:left w:w="55" w:type="dxa"/>
              <w:bottom w:w="55" w:type="dxa"/>
              <w:right w:w="55" w:type="dxa"/>
            </w:tcMar>
          </w:tcPr>
          <w:p w14:paraId="14A9CA56" w14:textId="77777777" w:rsidR="009245D8" w:rsidRDefault="00370AC4">
            <w:pPr>
              <w:spacing w:after="30" w:line="228" w:lineRule="auto"/>
            </w:pPr>
            <w:r>
              <w:rPr>
                <w:sz w:val="14"/>
              </w:rPr>
              <w:t>Secondary/editorial source. Useful framing, but stronger empirical papers should carry the evidentiary weight.</w:t>
            </w:r>
          </w:p>
        </w:tc>
      </w:tr>
      <w:tr w:rsidR="009245D8" w14:paraId="059437C5" w14:textId="77777777">
        <w:trPr>
          <w:jc w:val="center"/>
        </w:trPr>
        <w:tc>
          <w:tcPr>
            <w:tcW w:w="2088" w:type="dxa"/>
            <w:shd w:val="clear" w:color="auto" w:fill="F2F6FB"/>
            <w:tcMar>
              <w:top w:w="55" w:type="dxa"/>
              <w:left w:w="55" w:type="dxa"/>
              <w:bottom w:w="55" w:type="dxa"/>
              <w:right w:w="55" w:type="dxa"/>
            </w:tcMar>
          </w:tcPr>
          <w:p w14:paraId="0C0F26A8" w14:textId="77777777" w:rsidR="009245D8" w:rsidRDefault="00370AC4">
            <w:pPr>
              <w:spacing w:after="30" w:line="228" w:lineRule="auto"/>
            </w:pPr>
            <w:r>
              <w:rPr>
                <w:b/>
                <w:sz w:val="14"/>
              </w:rPr>
              <w:t>3. COMPETITION / CONCENTRATION</w:t>
            </w:r>
            <w:r>
              <w:rPr>
                <w:b/>
                <w:sz w:val="14"/>
              </w:rPr>
              <w:br/>
              <w:t>Does acquisition change market structure?</w:t>
            </w:r>
          </w:p>
        </w:tc>
        <w:tc>
          <w:tcPr>
            <w:tcW w:w="3672" w:type="dxa"/>
            <w:shd w:val="clear" w:color="auto" w:fill="F2F6FB"/>
            <w:tcMar>
              <w:top w:w="55" w:type="dxa"/>
              <w:left w:w="55" w:type="dxa"/>
              <w:bottom w:w="55" w:type="dxa"/>
              <w:right w:w="55" w:type="dxa"/>
            </w:tcMar>
          </w:tcPr>
          <w:p w14:paraId="3C4AA152" w14:textId="77777777" w:rsidR="009245D8" w:rsidRDefault="00370AC4">
            <w:pPr>
              <w:spacing w:after="30" w:line="228" w:lineRule="auto"/>
            </w:pPr>
            <w:r>
              <w:rPr>
                <w:sz w:val="13"/>
              </w:rPr>
              <w:t>Gee, E., &amp; Gurwitz, E. (2018). Provider consolidation drives up health care costs: Policy recommendations to curb abuses of market power and protect patients. Center for American Progress.</w:t>
            </w:r>
          </w:p>
        </w:tc>
        <w:tc>
          <w:tcPr>
            <w:tcW w:w="2088" w:type="dxa"/>
            <w:shd w:val="clear" w:color="auto" w:fill="F2F6FB"/>
            <w:tcMar>
              <w:top w:w="55" w:type="dxa"/>
              <w:left w:w="55" w:type="dxa"/>
              <w:bottom w:w="55" w:type="dxa"/>
              <w:right w:w="55" w:type="dxa"/>
            </w:tcMar>
          </w:tcPr>
          <w:p w14:paraId="161B99AA" w14:textId="77777777" w:rsidR="009245D8" w:rsidRDefault="00370AC4">
            <w:pPr>
              <w:spacing w:after="30" w:line="228" w:lineRule="auto"/>
            </w:pPr>
            <w:r>
              <w:rPr>
                <w:sz w:val="14"/>
              </w:rPr>
              <w:t>Market structure; barriers to entry; competition; pricing; horizontal &amp; vertical consolidation</w:t>
            </w:r>
          </w:p>
        </w:tc>
        <w:tc>
          <w:tcPr>
            <w:tcW w:w="3096" w:type="dxa"/>
            <w:shd w:val="clear" w:color="auto" w:fill="F2F6FB"/>
            <w:tcMar>
              <w:top w:w="55" w:type="dxa"/>
              <w:left w:w="55" w:type="dxa"/>
              <w:bottom w:w="55" w:type="dxa"/>
              <w:right w:w="55" w:type="dxa"/>
            </w:tcMar>
          </w:tcPr>
          <w:p w14:paraId="47AFEA25" w14:textId="77777777" w:rsidR="00575ED6" w:rsidRDefault="00370AC4">
            <w:pPr>
              <w:spacing w:after="30" w:line="228" w:lineRule="auto"/>
              <w:rPr>
                <w:sz w:val="14"/>
              </w:rPr>
            </w:pPr>
            <w:r>
              <w:rPr>
                <w:sz w:val="14"/>
              </w:rPr>
              <w:t xml:space="preserve">Policy report synthesizes consolidation evidence. </w:t>
            </w:r>
          </w:p>
          <w:p w14:paraId="594C9938" w14:textId="05366805" w:rsidR="009245D8" w:rsidRDefault="00575ED6">
            <w:pPr>
              <w:spacing w:after="30" w:line="228" w:lineRule="auto"/>
              <w:rPr>
                <w:sz w:val="14"/>
              </w:rPr>
            </w:pPr>
            <w:r>
              <w:rPr>
                <w:sz w:val="14"/>
              </w:rPr>
              <w:t xml:space="preserve">Figure 1: % of community hospitals belonging to health care </w:t>
            </w:r>
            <w:r w:rsidR="009C72A7">
              <w:rPr>
                <w:sz w:val="14"/>
              </w:rPr>
              <w:t xml:space="preserve">systems. Fewer hospitals are independent of health care systems. </w:t>
            </w:r>
          </w:p>
          <w:p w14:paraId="3BE2BE30" w14:textId="7D98658E" w:rsidR="00575ED6" w:rsidRDefault="009C72A7">
            <w:pPr>
              <w:spacing w:after="30" w:line="228" w:lineRule="auto"/>
            </w:pPr>
            <w:r>
              <w:rPr>
                <w:sz w:val="14"/>
              </w:rPr>
              <w:t>Figure</w:t>
            </w:r>
            <w:r w:rsidR="00575ED6">
              <w:rPr>
                <w:sz w:val="14"/>
              </w:rPr>
              <w:t xml:space="preserve"> 2: # of hospital mergers and acquisitions.  Mergers and </w:t>
            </w:r>
            <w:r>
              <w:rPr>
                <w:sz w:val="14"/>
              </w:rPr>
              <w:t xml:space="preserve">acquisitions </w:t>
            </w:r>
            <w:r w:rsidR="00575ED6">
              <w:rPr>
                <w:sz w:val="14"/>
              </w:rPr>
              <w:t xml:space="preserve">are not slowing down. </w:t>
            </w:r>
          </w:p>
        </w:tc>
        <w:tc>
          <w:tcPr>
            <w:tcW w:w="1512" w:type="dxa"/>
            <w:shd w:val="clear" w:color="auto" w:fill="F2F6FB"/>
            <w:tcMar>
              <w:top w:w="55" w:type="dxa"/>
              <w:left w:w="55" w:type="dxa"/>
              <w:bottom w:w="55" w:type="dxa"/>
              <w:right w:w="55" w:type="dxa"/>
            </w:tcMar>
          </w:tcPr>
          <w:p w14:paraId="04A71075" w14:textId="77777777" w:rsidR="009245D8" w:rsidRDefault="00370AC4">
            <w:pPr>
              <w:spacing w:after="30" w:line="228" w:lineRule="auto"/>
            </w:pPr>
            <w:r>
              <w:rPr>
                <w:sz w:val="14"/>
              </w:rPr>
              <w:t>Weakens competition in concentrated markets; highlights limited alternatives in some local markets.</w:t>
            </w:r>
          </w:p>
        </w:tc>
        <w:tc>
          <w:tcPr>
            <w:tcW w:w="1512" w:type="dxa"/>
            <w:shd w:val="clear" w:color="auto" w:fill="F2F6FB"/>
            <w:tcMar>
              <w:top w:w="55" w:type="dxa"/>
              <w:left w:w="55" w:type="dxa"/>
              <w:bottom w:w="55" w:type="dxa"/>
              <w:right w:w="55" w:type="dxa"/>
            </w:tcMar>
          </w:tcPr>
          <w:p w14:paraId="182F03E4" w14:textId="77777777" w:rsidR="009245D8" w:rsidRDefault="00370AC4">
            <w:pPr>
              <w:spacing w:after="30" w:line="228" w:lineRule="auto"/>
            </w:pPr>
            <w:r>
              <w:rPr>
                <w:sz w:val="14"/>
              </w:rPr>
              <w:t>Increase; report links provider consolidation with higher prices/costs.</w:t>
            </w:r>
          </w:p>
        </w:tc>
        <w:tc>
          <w:tcPr>
            <w:tcW w:w="2376" w:type="dxa"/>
            <w:shd w:val="clear" w:color="auto" w:fill="F2F6FB"/>
            <w:tcMar>
              <w:top w:w="55" w:type="dxa"/>
              <w:left w:w="55" w:type="dxa"/>
              <w:bottom w:w="55" w:type="dxa"/>
              <w:right w:w="55" w:type="dxa"/>
            </w:tcMar>
          </w:tcPr>
          <w:p w14:paraId="5EB4FBD2" w14:textId="77777777" w:rsidR="009245D8" w:rsidRDefault="00370AC4">
            <w:pPr>
              <w:spacing w:after="30" w:line="228" w:lineRule="auto"/>
            </w:pPr>
            <w:r>
              <w:rPr>
                <w:sz w:val="14"/>
              </w:rPr>
              <w:t>Efficiency: possible scale claims, but report emphasizes price effects.</w:t>
            </w:r>
            <w:r>
              <w:rPr>
                <w:sz w:val="14"/>
              </w:rPr>
              <w:br/>
              <w:t>Market power: strengthens bargaining leverage and may deter entry.</w:t>
            </w:r>
          </w:p>
        </w:tc>
        <w:tc>
          <w:tcPr>
            <w:tcW w:w="2520" w:type="dxa"/>
            <w:shd w:val="clear" w:color="auto" w:fill="F2F6FB"/>
            <w:tcMar>
              <w:top w:w="55" w:type="dxa"/>
              <w:left w:w="55" w:type="dxa"/>
              <w:bottom w:w="55" w:type="dxa"/>
              <w:right w:w="55" w:type="dxa"/>
            </w:tcMar>
          </w:tcPr>
          <w:p w14:paraId="602D97C1" w14:textId="77777777" w:rsidR="009245D8" w:rsidRDefault="00370AC4">
            <w:pPr>
              <w:spacing w:after="30" w:line="228" w:lineRule="auto"/>
            </w:pPr>
            <w:r>
              <w:rPr>
                <w:sz w:val="14"/>
              </w:rPr>
              <w:t>Restricted network choice/access; antitrust concerns; rural infrastructure issues; site-of-service effects.</w:t>
            </w:r>
          </w:p>
        </w:tc>
        <w:tc>
          <w:tcPr>
            <w:tcW w:w="2952" w:type="dxa"/>
            <w:shd w:val="clear" w:color="auto" w:fill="F2F6FB"/>
            <w:tcMar>
              <w:top w:w="55" w:type="dxa"/>
              <w:left w:w="55" w:type="dxa"/>
              <w:bottom w:w="55" w:type="dxa"/>
              <w:right w:w="55" w:type="dxa"/>
            </w:tcMar>
          </w:tcPr>
          <w:p w14:paraId="5023B99A" w14:textId="77777777" w:rsidR="009245D8" w:rsidRDefault="00370AC4">
            <w:pPr>
              <w:spacing w:after="30" w:line="228" w:lineRule="auto"/>
            </w:pPr>
            <w:r>
              <w:rPr>
                <w:sz w:val="14"/>
              </w:rPr>
              <w:t>Useful policy synthesis; distinguish report conclusions from the underlying empirical studies it cites.</w:t>
            </w:r>
          </w:p>
        </w:tc>
      </w:tr>
      <w:tr w:rsidR="009245D8" w14:paraId="38439086" w14:textId="77777777">
        <w:trPr>
          <w:jc w:val="center"/>
        </w:trPr>
        <w:tc>
          <w:tcPr>
            <w:tcW w:w="2088" w:type="dxa"/>
            <w:shd w:val="clear" w:color="auto" w:fill="F2F6FB"/>
            <w:tcMar>
              <w:top w:w="55" w:type="dxa"/>
              <w:left w:w="55" w:type="dxa"/>
              <w:bottom w:w="55" w:type="dxa"/>
              <w:right w:w="55" w:type="dxa"/>
            </w:tcMar>
          </w:tcPr>
          <w:p w14:paraId="62653D3D" w14:textId="77777777" w:rsidR="009245D8" w:rsidRDefault="00370AC4">
            <w:pPr>
              <w:spacing w:after="30" w:line="228" w:lineRule="auto"/>
            </w:pPr>
            <w:r>
              <w:rPr>
                <w:b/>
                <w:sz w:val="14"/>
              </w:rPr>
              <w:t>5. DO EFFICIENCIES OFFSET MARKET POWER?</w:t>
            </w:r>
            <w:r>
              <w:rPr>
                <w:b/>
                <w:sz w:val="14"/>
              </w:rPr>
              <w:br/>
              <w:t>Are higher costs accompanied by measurable benefits?</w:t>
            </w:r>
          </w:p>
        </w:tc>
        <w:tc>
          <w:tcPr>
            <w:tcW w:w="3672" w:type="dxa"/>
            <w:shd w:val="clear" w:color="auto" w:fill="F2F6FB"/>
            <w:tcMar>
              <w:top w:w="55" w:type="dxa"/>
              <w:left w:w="55" w:type="dxa"/>
              <w:bottom w:w="55" w:type="dxa"/>
              <w:right w:w="55" w:type="dxa"/>
            </w:tcMar>
          </w:tcPr>
          <w:p w14:paraId="60EB33E3" w14:textId="77777777" w:rsidR="009245D8" w:rsidRDefault="00370AC4">
            <w:pPr>
              <w:spacing w:after="30" w:line="228" w:lineRule="auto"/>
            </w:pPr>
            <w:r>
              <w:rPr>
                <w:sz w:val="13"/>
              </w:rPr>
              <w:t>Whaley, C. M., &amp; Zhao, X. (2024). The effects of physician vertical integration on referral patterns, patient welfare, and market dynamics. Journal of Public Economics, 238, 105175. doi:10.1016/j.jpubeco.2024.105175.</w:t>
            </w:r>
          </w:p>
        </w:tc>
        <w:tc>
          <w:tcPr>
            <w:tcW w:w="2088" w:type="dxa"/>
            <w:shd w:val="clear" w:color="auto" w:fill="F2F6FB"/>
            <w:tcMar>
              <w:top w:w="55" w:type="dxa"/>
              <w:left w:w="55" w:type="dxa"/>
              <w:bottom w:w="55" w:type="dxa"/>
              <w:right w:w="55" w:type="dxa"/>
            </w:tcMar>
          </w:tcPr>
          <w:p w14:paraId="3A32666E" w14:textId="77777777" w:rsidR="009245D8" w:rsidRDefault="00370AC4">
            <w:pPr>
              <w:spacing w:after="30" w:line="228" w:lineRule="auto"/>
            </w:pPr>
            <w:r>
              <w:rPr>
                <w:sz w:val="14"/>
              </w:rPr>
              <w:t>Vertical integration; referral steering; market foreclosure; site-of-care arbitrage; patient welfare; market concentration</w:t>
            </w:r>
          </w:p>
        </w:tc>
        <w:tc>
          <w:tcPr>
            <w:tcW w:w="3096" w:type="dxa"/>
            <w:shd w:val="clear" w:color="auto" w:fill="F2F6FB"/>
            <w:tcMar>
              <w:top w:w="55" w:type="dxa"/>
              <w:left w:w="55" w:type="dxa"/>
              <w:bottom w:w="55" w:type="dxa"/>
              <w:right w:w="55" w:type="dxa"/>
            </w:tcMar>
          </w:tcPr>
          <w:p w14:paraId="3A905112" w14:textId="77777777" w:rsidR="009245D8" w:rsidRDefault="00370AC4">
            <w:pPr>
              <w:spacing w:after="30" w:line="228" w:lineRule="auto"/>
            </w:pPr>
            <w:r>
              <w:rPr>
                <w:sz w:val="14"/>
              </w:rPr>
              <w:t>Table 1: HOPD use +5.0 pp arthroscopy, +6.8 pp colonoscopy after integration; Medicare payments ≈+2%; no change in complications. Table 2: choice model. Counterfactual: full integration +$315.4M Medicare spending for two procedures.</w:t>
            </w:r>
          </w:p>
        </w:tc>
        <w:tc>
          <w:tcPr>
            <w:tcW w:w="1512" w:type="dxa"/>
            <w:shd w:val="clear" w:color="auto" w:fill="F2F6FB"/>
            <w:tcMar>
              <w:top w:w="55" w:type="dxa"/>
              <w:left w:w="55" w:type="dxa"/>
              <w:bottom w:w="55" w:type="dxa"/>
              <w:right w:w="55" w:type="dxa"/>
            </w:tcMar>
          </w:tcPr>
          <w:p w14:paraId="4D82E17A" w14:textId="77777777" w:rsidR="009245D8" w:rsidRDefault="00370AC4">
            <w:pPr>
              <w:spacing w:after="30" w:line="228" w:lineRule="auto"/>
            </w:pPr>
            <w:r>
              <w:rPr>
                <w:sz w:val="14"/>
              </w:rPr>
              <w:t>Weakens competition through steering away from independent ASCs; raises foreclosure/allocation concerns.</w:t>
            </w:r>
          </w:p>
        </w:tc>
        <w:tc>
          <w:tcPr>
            <w:tcW w:w="1512" w:type="dxa"/>
            <w:shd w:val="clear" w:color="auto" w:fill="F2F6FB"/>
            <w:tcMar>
              <w:top w:w="55" w:type="dxa"/>
              <w:left w:w="55" w:type="dxa"/>
              <w:bottom w:w="55" w:type="dxa"/>
              <w:right w:w="55" w:type="dxa"/>
            </w:tcMar>
          </w:tcPr>
          <w:p w14:paraId="3110D92B" w14:textId="77777777" w:rsidR="009245D8" w:rsidRDefault="00370AC4">
            <w:pPr>
              <w:spacing w:after="30" w:line="228" w:lineRule="auto"/>
            </w:pPr>
            <w:r>
              <w:rPr>
                <w:sz w:val="14"/>
              </w:rPr>
              <w:t>Increase: more use of higher-paid HOPDs; Medicare and patient OOP spending rise.</w:t>
            </w:r>
          </w:p>
        </w:tc>
        <w:tc>
          <w:tcPr>
            <w:tcW w:w="2376" w:type="dxa"/>
            <w:shd w:val="clear" w:color="auto" w:fill="F2F6FB"/>
            <w:tcMar>
              <w:top w:w="55" w:type="dxa"/>
              <w:left w:w="55" w:type="dxa"/>
              <w:bottom w:w="55" w:type="dxa"/>
              <w:right w:w="55" w:type="dxa"/>
            </w:tcMar>
          </w:tcPr>
          <w:p w14:paraId="6E6803E9" w14:textId="77777777" w:rsidR="009245D8" w:rsidRDefault="00370AC4">
            <w:pPr>
              <w:spacing w:after="30" w:line="228" w:lineRule="auto"/>
            </w:pPr>
            <w:r>
              <w:rPr>
                <w:sz w:val="14"/>
              </w:rPr>
              <w:t>Efficiency: no measurable quality gain for the two procedures.</w:t>
            </w:r>
            <w:r>
              <w:rPr>
                <w:sz w:val="14"/>
              </w:rPr>
              <w:br/>
              <w:t>Market power/incentives: integration changes referral incentives and downstream allocation; private-market bargaining leverage discussed.</w:t>
            </w:r>
          </w:p>
        </w:tc>
        <w:tc>
          <w:tcPr>
            <w:tcW w:w="2520" w:type="dxa"/>
            <w:shd w:val="clear" w:color="auto" w:fill="F2F6FB"/>
            <w:tcMar>
              <w:top w:w="55" w:type="dxa"/>
              <w:left w:w="55" w:type="dxa"/>
              <w:bottom w:w="55" w:type="dxa"/>
              <w:right w:w="55" w:type="dxa"/>
            </w:tcMar>
          </w:tcPr>
          <w:p w14:paraId="276AF1D0" w14:textId="77777777" w:rsidR="009245D8" w:rsidRDefault="00370AC4">
            <w:pPr>
              <w:spacing w:after="30" w:line="228" w:lineRule="auto"/>
            </w:pPr>
            <w:r>
              <w:rPr>
                <w:sz w:val="14"/>
              </w:rPr>
              <w:t>Referral steering; higher-cost site of care; increased travel; higher patient cost sharing; no meaningful complication improvement.</w:t>
            </w:r>
          </w:p>
        </w:tc>
        <w:tc>
          <w:tcPr>
            <w:tcW w:w="2952" w:type="dxa"/>
            <w:shd w:val="clear" w:color="auto" w:fill="F2F6FB"/>
            <w:tcMar>
              <w:top w:w="55" w:type="dxa"/>
              <w:left w:w="55" w:type="dxa"/>
              <w:bottom w:w="55" w:type="dxa"/>
              <w:right w:w="55" w:type="dxa"/>
            </w:tcMar>
          </w:tcPr>
          <w:p w14:paraId="4CCB8F41" w14:textId="77777777" w:rsidR="009245D8" w:rsidRDefault="00370AC4">
            <w:pPr>
              <w:spacing w:after="30" w:line="228" w:lineRule="auto"/>
            </w:pPr>
            <w:r>
              <w:rPr>
                <w:sz w:val="14"/>
              </w:rPr>
              <w:t>Strong empirical source. Difference-in-differences + discrete-choice model using 100% fee-for-service Medicare data, 2013–19.</w:t>
            </w:r>
          </w:p>
        </w:tc>
      </w:tr>
      <w:tr w:rsidR="009245D8" w14:paraId="14E259EA" w14:textId="77777777">
        <w:trPr>
          <w:jc w:val="center"/>
        </w:trPr>
        <w:tc>
          <w:tcPr>
            <w:tcW w:w="2088" w:type="dxa"/>
            <w:tcMar>
              <w:top w:w="55" w:type="dxa"/>
              <w:left w:w="55" w:type="dxa"/>
              <w:bottom w:w="55" w:type="dxa"/>
              <w:right w:w="55" w:type="dxa"/>
            </w:tcMar>
          </w:tcPr>
          <w:p w14:paraId="130C2B57" w14:textId="77777777" w:rsidR="009245D8" w:rsidRDefault="00370AC4">
            <w:pPr>
              <w:spacing w:after="30" w:line="228" w:lineRule="auto"/>
            </w:pPr>
            <w:r>
              <w:rPr>
                <w:b/>
                <w:sz w:val="14"/>
              </w:rPr>
              <w:t>5. DO EFFICIENCIES OFFSET MARKET POWER?</w:t>
            </w:r>
            <w:r>
              <w:rPr>
                <w:b/>
                <w:sz w:val="14"/>
              </w:rPr>
              <w:br/>
              <w:t>Cost, quality and utilization trade-off</w:t>
            </w:r>
          </w:p>
        </w:tc>
        <w:tc>
          <w:tcPr>
            <w:tcW w:w="3672" w:type="dxa"/>
            <w:tcMar>
              <w:top w:w="55" w:type="dxa"/>
              <w:left w:w="55" w:type="dxa"/>
              <w:bottom w:w="55" w:type="dxa"/>
              <w:right w:w="55" w:type="dxa"/>
            </w:tcMar>
          </w:tcPr>
          <w:p w14:paraId="54E76718" w14:textId="77777777" w:rsidR="009245D8" w:rsidRDefault="00370AC4">
            <w:pPr>
              <w:spacing w:after="30" w:line="228" w:lineRule="auto"/>
            </w:pPr>
            <w:r>
              <w:rPr>
                <w:sz w:val="13"/>
              </w:rPr>
              <w:t>Harris, A., Philbin, S., Post, B., Jordan, N., Beestrum, M., Epstein, R., &amp; McHugh, M. (2025). Cost, quality, and utilization after hospital-physician and hospital-post acute care vertical integration: A systematic review. Medical Care Research and Review, 82(1), 3–42. doi:10.1177/10775587241247682.</w:t>
            </w:r>
          </w:p>
        </w:tc>
        <w:tc>
          <w:tcPr>
            <w:tcW w:w="2088" w:type="dxa"/>
            <w:tcMar>
              <w:top w:w="55" w:type="dxa"/>
              <w:left w:w="55" w:type="dxa"/>
              <w:bottom w:w="55" w:type="dxa"/>
              <w:right w:w="55" w:type="dxa"/>
            </w:tcMar>
          </w:tcPr>
          <w:p w14:paraId="4C6AF04A" w14:textId="77777777" w:rsidR="009245D8" w:rsidRDefault="00370AC4">
            <w:pPr>
              <w:spacing w:after="30" w:line="228" w:lineRule="auto"/>
            </w:pPr>
            <w:r>
              <w:rPr>
                <w:sz w:val="14"/>
              </w:rPr>
              <w:t>Vertical integration; productive efficiency; coordination; market power; utilization; welfare trade-off</w:t>
            </w:r>
          </w:p>
        </w:tc>
        <w:tc>
          <w:tcPr>
            <w:tcW w:w="3096" w:type="dxa"/>
            <w:tcMar>
              <w:top w:w="55" w:type="dxa"/>
              <w:left w:w="55" w:type="dxa"/>
              <w:bottom w:w="55" w:type="dxa"/>
              <w:right w:w="55" w:type="dxa"/>
            </w:tcMar>
          </w:tcPr>
          <w:p w14:paraId="3D91284A" w14:textId="77777777" w:rsidR="009245D8" w:rsidRDefault="00370AC4">
            <w:pPr>
              <w:spacing w:after="30" w:line="228" w:lineRule="auto"/>
            </w:pPr>
            <w:r>
              <w:rPr>
                <w:sz w:val="14"/>
              </w:rPr>
              <w:t>Systematic review: 43 hospital-physician studies + 10 hospital-PAC studies. Hospital-physician integration associated with higher costs; quality/utilization effects unclear. Use study tables to trace individual outcomes.</w:t>
            </w:r>
          </w:p>
        </w:tc>
        <w:tc>
          <w:tcPr>
            <w:tcW w:w="1512" w:type="dxa"/>
            <w:tcMar>
              <w:top w:w="55" w:type="dxa"/>
              <w:left w:w="55" w:type="dxa"/>
              <w:bottom w:w="55" w:type="dxa"/>
              <w:right w:w="55" w:type="dxa"/>
            </w:tcMar>
          </w:tcPr>
          <w:p w14:paraId="04C37DD2" w14:textId="77777777" w:rsidR="009245D8" w:rsidRDefault="00370AC4">
            <w:pPr>
              <w:spacing w:after="30" w:line="228" w:lineRule="auto"/>
            </w:pPr>
            <w:r>
              <w:rPr>
                <w:sz w:val="14"/>
              </w:rPr>
              <w:t>Mixed / not directly established as a single outcome; competition and market context act as mechanisms/mediators.</w:t>
            </w:r>
          </w:p>
        </w:tc>
        <w:tc>
          <w:tcPr>
            <w:tcW w:w="1512" w:type="dxa"/>
            <w:tcMar>
              <w:top w:w="55" w:type="dxa"/>
              <w:left w:w="55" w:type="dxa"/>
              <w:bottom w:w="55" w:type="dxa"/>
              <w:right w:w="55" w:type="dxa"/>
            </w:tcMar>
          </w:tcPr>
          <w:p w14:paraId="5ABE9A15" w14:textId="77777777" w:rsidR="009245D8" w:rsidRDefault="00370AC4">
            <w:pPr>
              <w:spacing w:after="30" w:line="228" w:lineRule="auto"/>
            </w:pPr>
            <w:r>
              <w:rPr>
                <w:sz w:val="14"/>
              </w:rPr>
              <w:t>Increase: higher healthcare costs are the most consistent hospital-physician integration finding.</w:t>
            </w:r>
          </w:p>
        </w:tc>
        <w:tc>
          <w:tcPr>
            <w:tcW w:w="2376" w:type="dxa"/>
            <w:tcMar>
              <w:top w:w="55" w:type="dxa"/>
              <w:left w:w="55" w:type="dxa"/>
              <w:bottom w:w="55" w:type="dxa"/>
              <w:right w:w="55" w:type="dxa"/>
            </w:tcMar>
          </w:tcPr>
          <w:p w14:paraId="5D2A0BB1" w14:textId="77777777" w:rsidR="009245D8" w:rsidRDefault="00370AC4">
            <w:pPr>
              <w:spacing w:after="30" w:line="228" w:lineRule="auto"/>
            </w:pPr>
            <w:r>
              <w:rPr>
                <w:sz w:val="14"/>
              </w:rPr>
              <w:t>Efficiency: promised coordination/quality benefits are inconsistent.</w:t>
            </w:r>
            <w:r>
              <w:rPr>
                <w:sz w:val="14"/>
              </w:rPr>
              <w:br/>
              <w:t>Market power: discussed as a plausible mechanism; not one pooled causal estimate.</w:t>
            </w:r>
          </w:p>
        </w:tc>
        <w:tc>
          <w:tcPr>
            <w:tcW w:w="2520" w:type="dxa"/>
            <w:tcMar>
              <w:top w:w="55" w:type="dxa"/>
              <w:left w:w="55" w:type="dxa"/>
              <w:bottom w:w="55" w:type="dxa"/>
              <w:right w:w="55" w:type="dxa"/>
            </w:tcMar>
          </w:tcPr>
          <w:p w14:paraId="310F6D01" w14:textId="77777777" w:rsidR="009245D8" w:rsidRDefault="00370AC4">
            <w:pPr>
              <w:spacing w:after="30" w:line="228" w:lineRule="auto"/>
            </w:pPr>
            <w:r>
              <w:rPr>
                <w:sz w:val="14"/>
              </w:rPr>
              <w:t>Self-referral; service-price increases; shifts toward higher-cost settings/facility-fee revenue; quality and utilization mixed.</w:t>
            </w:r>
          </w:p>
        </w:tc>
        <w:tc>
          <w:tcPr>
            <w:tcW w:w="2952" w:type="dxa"/>
            <w:tcMar>
              <w:top w:w="55" w:type="dxa"/>
              <w:left w:w="55" w:type="dxa"/>
              <w:bottom w:w="55" w:type="dxa"/>
              <w:right w:w="55" w:type="dxa"/>
            </w:tcMar>
          </w:tcPr>
          <w:p w14:paraId="37D581D3" w14:textId="77777777" w:rsidR="009245D8" w:rsidRDefault="00370AC4">
            <w:pPr>
              <w:spacing w:after="30" w:line="228" w:lineRule="auto"/>
            </w:pPr>
            <w:r>
              <w:rPr>
                <w:sz w:val="14"/>
              </w:rPr>
              <w:t>Excellent synthesis source for the central trade-off: costs rise more consistently than measurable quality/utilization benefits.</w:t>
            </w:r>
          </w:p>
        </w:tc>
      </w:tr>
      <w:tr w:rsidR="009245D8" w14:paraId="11DD6749" w14:textId="77777777">
        <w:trPr>
          <w:trHeight w:val="520"/>
          <w:jc w:val="center"/>
        </w:trPr>
        <w:tc>
          <w:tcPr>
            <w:tcW w:w="2088" w:type="dxa"/>
            <w:shd w:val="clear" w:color="auto" w:fill="F7F7F7"/>
            <w:tcMar>
              <w:top w:w="55" w:type="dxa"/>
              <w:left w:w="55" w:type="dxa"/>
              <w:bottom w:w="55" w:type="dxa"/>
              <w:right w:w="55" w:type="dxa"/>
            </w:tcMar>
          </w:tcPr>
          <w:p w14:paraId="54A12695" w14:textId="77777777" w:rsidR="009245D8" w:rsidRDefault="00273904">
            <w:pPr>
              <w:spacing w:after="30" w:line="228" w:lineRule="auto"/>
              <w:rPr>
                <w:b/>
                <w:sz w:val="14"/>
              </w:rPr>
            </w:pPr>
            <w:r>
              <w:rPr>
                <w:b/>
                <w:sz w:val="14"/>
              </w:rPr>
              <w:t>6.  DO EFFICIENCIES OFFSET MARKET POWER?</w:t>
            </w:r>
          </w:p>
          <w:p w14:paraId="4AA02CD1" w14:textId="21629E14" w:rsidR="00273904" w:rsidRDefault="00273904">
            <w:pPr>
              <w:spacing w:after="30" w:line="228" w:lineRule="auto"/>
            </w:pPr>
            <w:r>
              <w:rPr>
                <w:b/>
                <w:sz w:val="14"/>
              </w:rPr>
              <w:t xml:space="preserve">Integration and </w:t>
            </w:r>
            <w:r w:rsidR="000F375E">
              <w:rPr>
                <w:b/>
                <w:sz w:val="14"/>
              </w:rPr>
              <w:t>effect</w:t>
            </w:r>
            <w:r>
              <w:rPr>
                <w:b/>
                <w:sz w:val="14"/>
              </w:rPr>
              <w:t xml:space="preserve"> on market prices</w:t>
            </w:r>
            <w:r w:rsidR="00662A47">
              <w:rPr>
                <w:b/>
                <w:sz w:val="14"/>
              </w:rPr>
              <w:t xml:space="preserve">, bargaining leverage translate into higher </w:t>
            </w:r>
            <w:r w:rsidR="00F97748">
              <w:rPr>
                <w:b/>
                <w:sz w:val="14"/>
              </w:rPr>
              <w:t>prices,</w:t>
            </w:r>
            <w:r w:rsidR="006F5C37">
              <w:rPr>
                <w:b/>
                <w:sz w:val="14"/>
              </w:rPr>
              <w:t xml:space="preserve"> </w:t>
            </w:r>
            <w:r w:rsidR="00F97748">
              <w:rPr>
                <w:b/>
                <w:sz w:val="14"/>
              </w:rPr>
              <w:t>does</w:t>
            </w:r>
            <w:r w:rsidR="006F5C37">
              <w:rPr>
                <w:b/>
                <w:sz w:val="14"/>
              </w:rPr>
              <w:t xml:space="preserve"> it affect competition </w:t>
            </w:r>
          </w:p>
        </w:tc>
        <w:tc>
          <w:tcPr>
            <w:tcW w:w="3672" w:type="dxa"/>
            <w:shd w:val="clear" w:color="auto" w:fill="F7F7F7"/>
            <w:tcMar>
              <w:top w:w="55" w:type="dxa"/>
              <w:left w:w="55" w:type="dxa"/>
              <w:bottom w:w="55" w:type="dxa"/>
              <w:right w:w="55" w:type="dxa"/>
            </w:tcMar>
          </w:tcPr>
          <w:p w14:paraId="223B0538" w14:textId="77777777" w:rsidR="00256E85" w:rsidRPr="00575ED6" w:rsidRDefault="00256E85" w:rsidP="00256E85">
            <w:pPr>
              <w:pStyle w:val="p1"/>
              <w:rPr>
                <w:color w:val="000000" w:themeColor="text1"/>
              </w:rPr>
            </w:pPr>
            <w:r w:rsidRPr="00575ED6">
              <w:rPr>
                <w:color w:val="000000" w:themeColor="text1"/>
              </w:rPr>
              <w:t>Zack Cooper</w:t>
            </w:r>
            <w:r w:rsidRPr="00575ED6">
              <w:rPr>
                <w:rStyle w:val="s1"/>
                <w:color w:val="000000" w:themeColor="text1"/>
              </w:rPr>
              <w:t xml:space="preserve">, </w:t>
            </w:r>
            <w:r w:rsidRPr="00575ED6">
              <w:rPr>
                <w:color w:val="000000" w:themeColor="text1"/>
              </w:rPr>
              <w:t>Stuart V. Craig</w:t>
            </w:r>
            <w:r w:rsidRPr="00575ED6">
              <w:rPr>
                <w:rStyle w:val="s1"/>
                <w:color w:val="000000" w:themeColor="text1"/>
              </w:rPr>
              <w:t xml:space="preserve">, </w:t>
            </w:r>
            <w:r w:rsidRPr="00575ED6">
              <w:rPr>
                <w:color w:val="000000" w:themeColor="text1"/>
              </w:rPr>
              <w:t>Ar-</w:t>
            </w:r>
          </w:p>
          <w:p w14:paraId="4D43F1CF" w14:textId="77777777" w:rsidR="00256E85" w:rsidRPr="00575ED6" w:rsidRDefault="00256E85" w:rsidP="00256E85">
            <w:pPr>
              <w:pStyle w:val="p1"/>
              <w:rPr>
                <w:color w:val="000000" w:themeColor="text1"/>
              </w:rPr>
            </w:pPr>
            <w:r w:rsidRPr="00575ED6">
              <w:rPr>
                <w:color w:val="000000" w:themeColor="text1"/>
              </w:rPr>
              <w:t>istotelis Epanomeritakis</w:t>
            </w:r>
            <w:r w:rsidRPr="00575ED6">
              <w:rPr>
                <w:rStyle w:val="s1"/>
                <w:color w:val="000000" w:themeColor="text1"/>
              </w:rPr>
              <w:t xml:space="preserve">, </w:t>
            </w:r>
            <w:r w:rsidRPr="00575ED6">
              <w:rPr>
                <w:color w:val="000000" w:themeColor="text1"/>
              </w:rPr>
              <w:t>Matthew</w:t>
            </w:r>
          </w:p>
          <w:p w14:paraId="42A08271" w14:textId="77777777" w:rsidR="00256E85" w:rsidRPr="00575ED6" w:rsidRDefault="00256E85" w:rsidP="00256E85">
            <w:pPr>
              <w:pStyle w:val="p1"/>
              <w:rPr>
                <w:color w:val="000000" w:themeColor="text1"/>
              </w:rPr>
            </w:pPr>
            <w:r w:rsidRPr="00575ED6">
              <w:rPr>
                <w:color w:val="000000" w:themeColor="text1"/>
              </w:rPr>
              <w:t>Grennan</w:t>
            </w:r>
            <w:r w:rsidRPr="00575ED6">
              <w:rPr>
                <w:rStyle w:val="s1"/>
                <w:color w:val="000000" w:themeColor="text1"/>
              </w:rPr>
              <w:t xml:space="preserve">, </w:t>
            </w:r>
            <w:r w:rsidRPr="00575ED6">
              <w:rPr>
                <w:color w:val="000000" w:themeColor="text1"/>
              </w:rPr>
              <w:t>Joseph R. Martinez</w:t>
            </w:r>
            <w:r w:rsidRPr="00575ED6">
              <w:rPr>
                <w:rStyle w:val="s1"/>
                <w:color w:val="000000" w:themeColor="text1"/>
              </w:rPr>
              <w:t xml:space="preserve">, </w:t>
            </w:r>
            <w:r w:rsidRPr="00575ED6">
              <w:rPr>
                <w:color w:val="000000" w:themeColor="text1"/>
              </w:rPr>
              <w:t>Fio-</w:t>
            </w:r>
          </w:p>
          <w:p w14:paraId="22B906A3" w14:textId="77777777" w:rsidR="00256E85" w:rsidRPr="00575ED6" w:rsidRDefault="00256E85" w:rsidP="00256E85">
            <w:pPr>
              <w:pStyle w:val="p1"/>
              <w:rPr>
                <w:color w:val="000000" w:themeColor="text1"/>
              </w:rPr>
            </w:pPr>
            <w:r w:rsidRPr="00575ED6">
              <w:rPr>
                <w:color w:val="000000" w:themeColor="text1"/>
              </w:rPr>
              <w:t>na Scott Morton</w:t>
            </w:r>
            <w:r w:rsidRPr="00575ED6">
              <w:rPr>
                <w:rStyle w:val="s1"/>
                <w:color w:val="000000" w:themeColor="text1"/>
              </w:rPr>
              <w:t xml:space="preserve">, and </w:t>
            </w:r>
            <w:r w:rsidRPr="00575ED6">
              <w:rPr>
                <w:color w:val="000000" w:themeColor="text1"/>
              </w:rPr>
              <w:t>Ashley T.</w:t>
            </w:r>
          </w:p>
          <w:p w14:paraId="2F407009" w14:textId="743CBF54" w:rsidR="00256E85" w:rsidRPr="00575ED6" w:rsidRDefault="00256E85" w:rsidP="00256E85">
            <w:pPr>
              <w:pStyle w:val="p1"/>
              <w:rPr>
                <w:color w:val="000000" w:themeColor="text1"/>
              </w:rPr>
            </w:pPr>
            <w:r w:rsidRPr="00575ED6">
              <w:rPr>
                <w:color w:val="000000" w:themeColor="text1"/>
              </w:rPr>
              <w:t>Swanson.  NBER Working paper 34039</w:t>
            </w:r>
          </w:p>
          <w:p w14:paraId="5CBAA19B" w14:textId="68B0BDBA" w:rsidR="00256E85" w:rsidRPr="00575ED6" w:rsidRDefault="00256E85" w:rsidP="00256E85">
            <w:pPr>
              <w:pStyle w:val="p1"/>
              <w:rPr>
                <w:color w:val="000000" w:themeColor="text1"/>
              </w:rPr>
            </w:pPr>
            <w:r w:rsidRPr="00575ED6">
              <w:rPr>
                <w:color w:val="000000" w:themeColor="text1"/>
              </w:rPr>
              <w:t xml:space="preserve">Are Hospital Acquisitions of Physician Practices Anticompetitive </w:t>
            </w:r>
          </w:p>
          <w:p w14:paraId="7DE41A59" w14:textId="0763E7A1" w:rsidR="009245D8" w:rsidRPr="00575ED6" w:rsidRDefault="009245D8">
            <w:pPr>
              <w:spacing w:after="30" w:line="228" w:lineRule="auto"/>
              <w:rPr>
                <w:color w:val="000000" w:themeColor="text1"/>
              </w:rPr>
            </w:pPr>
          </w:p>
        </w:tc>
        <w:tc>
          <w:tcPr>
            <w:tcW w:w="2088" w:type="dxa"/>
            <w:shd w:val="clear" w:color="auto" w:fill="F7F7F7"/>
            <w:tcMar>
              <w:top w:w="55" w:type="dxa"/>
              <w:left w:w="55" w:type="dxa"/>
              <w:bottom w:w="55" w:type="dxa"/>
              <w:right w:w="55" w:type="dxa"/>
            </w:tcMar>
          </w:tcPr>
          <w:p w14:paraId="1240F820" w14:textId="77777777" w:rsidR="00A22324" w:rsidRPr="00A22324" w:rsidRDefault="00A22324" w:rsidP="00A22324">
            <w:pPr>
              <w:pStyle w:val="p1"/>
              <w:rPr>
                <w:rFonts w:ascii="Times New Roman" w:hAnsi="Times New Roman"/>
                <w:color w:val="000000" w:themeColor="text1"/>
                <w:sz w:val="24"/>
              </w:rPr>
            </w:pPr>
            <w:r w:rsidRPr="00A22324">
              <w:rPr>
                <w:color w:val="000000" w:themeColor="text1"/>
              </w:rPr>
              <w:t>Vertical integration; market concentration; market power; bargaining power/game theory; referral steering</w:t>
            </w:r>
          </w:p>
          <w:p w14:paraId="32D3D307" w14:textId="69DD2AA6" w:rsidR="009245D8" w:rsidRDefault="009245D8">
            <w:pPr>
              <w:spacing w:after="30" w:line="228" w:lineRule="auto"/>
            </w:pPr>
          </w:p>
        </w:tc>
        <w:tc>
          <w:tcPr>
            <w:tcW w:w="3096" w:type="dxa"/>
            <w:shd w:val="clear" w:color="auto" w:fill="F7F7F7"/>
            <w:tcMar>
              <w:top w:w="55" w:type="dxa"/>
              <w:left w:w="55" w:type="dxa"/>
              <w:bottom w:w="55" w:type="dxa"/>
              <w:right w:w="55" w:type="dxa"/>
            </w:tcMar>
          </w:tcPr>
          <w:p w14:paraId="3AD6053A" w14:textId="77777777" w:rsidR="009245D8" w:rsidRDefault="00622C16" w:rsidP="00575ED6">
            <w:pPr>
              <w:pStyle w:val="ListParagraph"/>
              <w:numPr>
                <w:ilvl w:val="0"/>
                <w:numId w:val="12"/>
              </w:numPr>
              <w:spacing w:after="30" w:line="228" w:lineRule="auto"/>
            </w:pPr>
            <w:r>
              <w:t xml:space="preserve">Examined practice </w:t>
            </w:r>
            <w:r w:rsidR="005D517B">
              <w:t>acquisitions</w:t>
            </w:r>
            <w:r>
              <w:t xml:space="preserve"> between 2008-2016</w:t>
            </w:r>
            <w:r w:rsidR="00A228C1">
              <w:t>.  Found rise in physician-</w:t>
            </w:r>
            <w:r w:rsidR="005D517B">
              <w:t>hospital</w:t>
            </w:r>
            <w:r w:rsidR="00A228C1">
              <w:t xml:space="preserve"> integration with share of employed physicians rising from 27.5 to 47.2%. </w:t>
            </w:r>
            <w:r w:rsidR="003C28F3">
              <w:t xml:space="preserve"> Analyzed 275 physician integration and 66 </w:t>
            </w:r>
            <w:r w:rsidR="000F375E">
              <w:t>integrations</w:t>
            </w:r>
            <w:r w:rsidR="003C28F3">
              <w:t>. 2 years after integration hospital L&amp;D prices rose 3.3</w:t>
            </w:r>
            <w:r w:rsidR="000F375E">
              <w:t>% ($</w:t>
            </w:r>
            <w:r w:rsidR="003C28F3">
              <w:t xml:space="preserve">475) while physician </w:t>
            </w:r>
            <w:r w:rsidR="000F375E">
              <w:t>prices</w:t>
            </w:r>
            <w:r w:rsidR="003C28F3">
              <w:t xml:space="preserve"> rose by 15.1</w:t>
            </w:r>
            <w:r w:rsidR="000F375E">
              <w:t>% ($</w:t>
            </w:r>
            <w:r w:rsidR="003C28F3">
              <w:t>502</w:t>
            </w:r>
            <w:r w:rsidR="000F375E">
              <w:t>),</w:t>
            </w:r>
            <w:r w:rsidR="00D82D7F">
              <w:t xml:space="preserve"> they reported no correlated improvement in quality but noted increase of C section rates of 4.5-8.0%</w:t>
            </w:r>
            <w:r w:rsidR="00544E41">
              <w:t xml:space="preserve"> which is </w:t>
            </w:r>
            <w:r w:rsidR="000F375E">
              <w:t>often</w:t>
            </w:r>
            <w:r w:rsidR="00544E41">
              <w:t xml:space="preserve"> consider sign of physician induced demand rather than improved care. </w:t>
            </w:r>
            <w:r w:rsidR="00E51C35">
              <w:t xml:space="preserve">To distinguish competitive effects from </w:t>
            </w:r>
            <w:r w:rsidR="00B37DC7">
              <w:t xml:space="preserve">other potential explanation. For price changes, </w:t>
            </w:r>
            <w:r w:rsidR="000F375E">
              <w:t>physician prices for</w:t>
            </w:r>
            <w:r w:rsidR="00BF6B76">
              <w:t xml:space="preserve"> individuals </w:t>
            </w:r>
            <w:r w:rsidR="00B05097">
              <w:t>already integrated with acquiring hospitals</w:t>
            </w:r>
            <w:r w:rsidR="00BF6B76">
              <w:t xml:space="preserve"> showed 9% increase in prices after their hospital acquired additional physicians in their special</w:t>
            </w:r>
            <w:r w:rsidR="005621CB">
              <w:t xml:space="preserve">ty despite no change in their own integration status. </w:t>
            </w:r>
          </w:p>
          <w:p w14:paraId="03A59FF9" w14:textId="167FAECA" w:rsidR="00A22324" w:rsidRDefault="00A22324" w:rsidP="00575ED6">
            <w:pPr>
              <w:pStyle w:val="ListParagraph"/>
              <w:numPr>
                <w:ilvl w:val="0"/>
                <w:numId w:val="12"/>
              </w:numPr>
              <w:spacing w:after="30" w:line="228" w:lineRule="auto"/>
            </w:pPr>
            <w:r>
              <w:t xml:space="preserve">Graph: Page 2 Price Impact of Hospital Acquisition of Physician practices </w:t>
            </w:r>
          </w:p>
          <w:p w14:paraId="57200140" w14:textId="6334380F" w:rsidR="00A22324" w:rsidRDefault="00A22324" w:rsidP="00A22324">
            <w:pPr>
              <w:pStyle w:val="p1"/>
              <w:rPr>
                <w:rFonts w:ascii="Times New Roman" w:hAnsi="Times New Roman"/>
                <w:sz w:val="24"/>
              </w:rPr>
            </w:pPr>
          </w:p>
          <w:p w14:paraId="03536F6A" w14:textId="4F667B49" w:rsidR="00575ED6" w:rsidRDefault="00575ED6">
            <w:pPr>
              <w:spacing w:after="30" w:line="228" w:lineRule="auto"/>
            </w:pPr>
          </w:p>
        </w:tc>
        <w:tc>
          <w:tcPr>
            <w:tcW w:w="1512" w:type="dxa"/>
            <w:shd w:val="clear" w:color="auto" w:fill="F7F7F7"/>
            <w:tcMar>
              <w:top w:w="55" w:type="dxa"/>
              <w:left w:w="55" w:type="dxa"/>
              <w:bottom w:w="55" w:type="dxa"/>
              <w:right w:w="55" w:type="dxa"/>
            </w:tcMar>
          </w:tcPr>
          <w:p w14:paraId="63FB8FEA" w14:textId="02726AA6" w:rsidR="009245D8" w:rsidRDefault="00A22324">
            <w:pPr>
              <w:spacing w:after="30" w:line="228" w:lineRule="auto"/>
            </w:pPr>
            <w:r>
              <w:t xml:space="preserve">Evidence </w:t>
            </w:r>
            <w:r w:rsidR="00841A6F">
              <w:t>suggests</w:t>
            </w:r>
            <w:r>
              <w:t xml:space="preserve"> weakened competition </w:t>
            </w:r>
          </w:p>
          <w:p w14:paraId="6901CF18" w14:textId="77777777" w:rsidR="006C4A87" w:rsidRDefault="006C4A87">
            <w:pPr>
              <w:spacing w:after="30" w:line="228" w:lineRule="auto"/>
            </w:pPr>
          </w:p>
          <w:p w14:paraId="32E5EE01" w14:textId="75D00B2C" w:rsidR="006C4A87" w:rsidRDefault="006C4A87">
            <w:pPr>
              <w:spacing w:after="30" w:line="228" w:lineRule="auto"/>
            </w:pPr>
          </w:p>
        </w:tc>
        <w:tc>
          <w:tcPr>
            <w:tcW w:w="1512" w:type="dxa"/>
            <w:shd w:val="clear" w:color="auto" w:fill="F7F7F7"/>
            <w:tcMar>
              <w:top w:w="55" w:type="dxa"/>
              <w:left w:w="55" w:type="dxa"/>
              <w:bottom w:w="55" w:type="dxa"/>
              <w:right w:w="55" w:type="dxa"/>
            </w:tcMar>
          </w:tcPr>
          <w:p w14:paraId="65823C54" w14:textId="77777777" w:rsidR="009245D8" w:rsidRDefault="00CA55EA">
            <w:pPr>
              <w:spacing w:after="30" w:line="228" w:lineRule="auto"/>
            </w:pPr>
            <w:r>
              <w:t xml:space="preserve">Increase higher health care costs </w:t>
            </w:r>
          </w:p>
          <w:p w14:paraId="39E8748F" w14:textId="2DEEF609" w:rsidR="00A22324" w:rsidRDefault="00A22324" w:rsidP="00A22324">
            <w:pPr>
              <w:pStyle w:val="ListParagraph"/>
              <w:numPr>
                <w:ilvl w:val="0"/>
                <w:numId w:val="15"/>
              </w:numPr>
              <w:spacing w:after="30" w:line="228" w:lineRule="auto"/>
            </w:pPr>
            <w:r>
              <w:t>Physician prices increase 15.1</w:t>
            </w:r>
            <w:r w:rsidR="00841A6F">
              <w:t>% ($</w:t>
            </w:r>
            <w:r>
              <w:t>502), hospital prices increase 3.3</w:t>
            </w:r>
            <w:r w:rsidR="00841A6F">
              <w:t>% ($</w:t>
            </w:r>
            <w:r>
              <w:t>475</w:t>
            </w:r>
            <w:r w:rsidR="00841A6F">
              <w:t>) 2</w:t>
            </w:r>
            <w:r>
              <w:t xml:space="preserve"> years post integration. </w:t>
            </w:r>
          </w:p>
        </w:tc>
        <w:tc>
          <w:tcPr>
            <w:tcW w:w="2376" w:type="dxa"/>
            <w:shd w:val="clear" w:color="auto" w:fill="F7F7F7"/>
            <w:tcMar>
              <w:top w:w="55" w:type="dxa"/>
              <w:left w:w="55" w:type="dxa"/>
              <w:bottom w:w="55" w:type="dxa"/>
              <w:right w:w="55" w:type="dxa"/>
            </w:tcMar>
          </w:tcPr>
          <w:p w14:paraId="621F6932" w14:textId="77777777" w:rsidR="00A22324" w:rsidRPr="00A22324" w:rsidRDefault="00A22324" w:rsidP="00A22324">
            <w:pPr>
              <w:pStyle w:val="p1"/>
              <w:rPr>
                <w:rFonts w:ascii="Arial" w:hAnsi="Arial" w:cs="Arial"/>
                <w:color w:val="000000" w:themeColor="text1"/>
                <w:sz w:val="15"/>
                <w:szCs w:val="15"/>
              </w:rPr>
            </w:pPr>
            <w:r w:rsidRPr="00A22324">
              <w:rPr>
                <w:color w:val="000000" w:themeColor="text1"/>
              </w:rPr>
              <w:t xml:space="preserve"> </w:t>
            </w:r>
            <w:r w:rsidR="000226FC" w:rsidRPr="00A22324">
              <w:rPr>
                <w:color w:val="000000" w:themeColor="text1"/>
              </w:rPr>
              <w:t xml:space="preserve"> </w:t>
            </w:r>
            <w:r w:rsidRPr="00A22324">
              <w:rPr>
                <w:rFonts w:ascii="Arial" w:hAnsi="Arial" w:cs="Arial"/>
                <w:color w:val="000000" w:themeColor="text1"/>
                <w:sz w:val="15"/>
                <w:szCs w:val="15"/>
              </w:rPr>
              <w:t>No discernible quality improvement identified to offset price increases; stronger acquiring-hospital market power associated with larger physician-price increases</w:t>
            </w:r>
          </w:p>
          <w:p w14:paraId="25CC546A" w14:textId="6A138A43" w:rsidR="009245D8" w:rsidRDefault="009245D8">
            <w:pPr>
              <w:spacing w:after="30" w:line="228" w:lineRule="auto"/>
            </w:pPr>
          </w:p>
        </w:tc>
        <w:tc>
          <w:tcPr>
            <w:tcW w:w="2520" w:type="dxa"/>
            <w:shd w:val="clear" w:color="auto" w:fill="F7F7F7"/>
            <w:tcMar>
              <w:top w:w="55" w:type="dxa"/>
              <w:left w:w="55" w:type="dxa"/>
              <w:bottom w:w="55" w:type="dxa"/>
              <w:right w:w="55" w:type="dxa"/>
            </w:tcMar>
          </w:tcPr>
          <w:p w14:paraId="265BC615" w14:textId="77777777" w:rsidR="00A22324" w:rsidRPr="00A22324" w:rsidRDefault="00A22324" w:rsidP="00A22324">
            <w:pPr>
              <w:pStyle w:val="p1"/>
              <w:rPr>
                <w:rFonts w:ascii="Arial" w:hAnsi="Arial" w:cs="Arial"/>
                <w:color w:val="000000" w:themeColor="text1"/>
                <w:sz w:val="24"/>
              </w:rPr>
            </w:pPr>
            <w:r w:rsidRPr="00A22324">
              <w:rPr>
                <w:rFonts w:ascii="Arial" w:hAnsi="Arial" w:cs="Arial"/>
                <w:color w:val="000000" w:themeColor="text1"/>
              </w:rPr>
              <w:t>Referral redirection; increased bargaining leverage; increased physician-market concentration; antitrust implications</w:t>
            </w:r>
          </w:p>
          <w:p w14:paraId="2ACF1E68" w14:textId="3F055460" w:rsidR="000226FC" w:rsidRDefault="000226FC">
            <w:pPr>
              <w:spacing w:after="30" w:line="228" w:lineRule="auto"/>
            </w:pPr>
          </w:p>
        </w:tc>
        <w:tc>
          <w:tcPr>
            <w:tcW w:w="2952" w:type="dxa"/>
            <w:shd w:val="clear" w:color="auto" w:fill="F7F7F7"/>
            <w:tcMar>
              <w:top w:w="55" w:type="dxa"/>
              <w:left w:w="55" w:type="dxa"/>
              <w:bottom w:w="55" w:type="dxa"/>
              <w:right w:w="55" w:type="dxa"/>
            </w:tcMar>
          </w:tcPr>
          <w:p w14:paraId="6290DE68" w14:textId="0EED5B82" w:rsidR="009245D8" w:rsidRDefault="0046372D">
            <w:pPr>
              <w:spacing w:after="30" w:line="228" w:lineRule="auto"/>
            </w:pPr>
            <w:r>
              <w:t>Article refers to 3 mechanisms driving price i</w:t>
            </w:r>
            <w:r w:rsidR="00410071">
              <w:t>ncreases</w:t>
            </w:r>
          </w:p>
          <w:p w14:paraId="1710E932" w14:textId="77777777" w:rsidR="0046372D" w:rsidRDefault="0046372D" w:rsidP="0046372D">
            <w:pPr>
              <w:pStyle w:val="ListParagraph"/>
              <w:numPr>
                <w:ilvl w:val="0"/>
                <w:numId w:val="11"/>
              </w:numPr>
              <w:spacing w:after="30" w:line="228" w:lineRule="auto"/>
            </w:pPr>
            <w:r>
              <w:t xml:space="preserve">Acquired physicians </w:t>
            </w:r>
            <w:r w:rsidR="00D2319B">
              <w:t xml:space="preserve">redirect patients to acquiring hospitals </w:t>
            </w:r>
          </w:p>
          <w:p w14:paraId="682F4201" w14:textId="28112660" w:rsidR="00D2319B" w:rsidRDefault="00D2319B" w:rsidP="0046372D">
            <w:pPr>
              <w:pStyle w:val="ListParagraph"/>
              <w:numPr>
                <w:ilvl w:val="0"/>
                <w:numId w:val="11"/>
              </w:numPr>
              <w:spacing w:after="30" w:line="228" w:lineRule="auto"/>
            </w:pPr>
            <w:r>
              <w:t xml:space="preserve">Increased market power by acquiring hospitals consistent with “recapture </w:t>
            </w:r>
            <w:r w:rsidR="00410071">
              <w:t>mechanism” where</w:t>
            </w:r>
            <w:r w:rsidR="00714CCF">
              <w:t xml:space="preserve"> integration improves negotiating leverage with insurers </w:t>
            </w:r>
          </w:p>
          <w:p w14:paraId="3AA9001B" w14:textId="77777777" w:rsidR="00714CCF" w:rsidRDefault="0013111C" w:rsidP="0046372D">
            <w:pPr>
              <w:pStyle w:val="ListParagraph"/>
              <w:numPr>
                <w:ilvl w:val="0"/>
                <w:numId w:val="11"/>
              </w:numPr>
              <w:spacing w:after="30" w:line="228" w:lineRule="auto"/>
            </w:pPr>
            <w:r>
              <w:t xml:space="preserve">Horizontal market power effects where price increased are </w:t>
            </w:r>
            <w:r w:rsidR="00410071">
              <w:t xml:space="preserve">larger for transactions that increase concentration in physician markets. </w:t>
            </w:r>
          </w:p>
          <w:p w14:paraId="51B2D7CE" w14:textId="690EEE3F" w:rsidR="00A22324" w:rsidRDefault="00A22324" w:rsidP="00A22324">
            <w:pPr>
              <w:pStyle w:val="p1"/>
              <w:rPr>
                <w:color w:val="000000" w:themeColor="text1"/>
                <w:sz w:val="15"/>
                <w:szCs w:val="15"/>
              </w:rPr>
            </w:pPr>
          </w:p>
          <w:p w14:paraId="4A90608E" w14:textId="6CE60EE3" w:rsidR="00A22324" w:rsidRPr="00A22324" w:rsidRDefault="00A22324" w:rsidP="00A22324">
            <w:pPr>
              <w:pStyle w:val="p1"/>
              <w:rPr>
                <w:rFonts w:ascii="Times New Roman" w:hAnsi="Times New Roman"/>
                <w:color w:val="000000" w:themeColor="text1"/>
                <w:sz w:val="15"/>
                <w:szCs w:val="15"/>
              </w:rPr>
            </w:pPr>
            <w:r>
              <w:rPr>
                <w:color w:val="000000" w:themeColor="text1"/>
                <w:sz w:val="15"/>
                <w:szCs w:val="15"/>
              </w:rPr>
              <w:t>27</w:t>
            </w:r>
            <w:r w:rsidRPr="00A22324">
              <w:rPr>
                <w:color w:val="000000" w:themeColor="text1"/>
                <w:sz w:val="15"/>
                <w:szCs w:val="15"/>
              </w:rPr>
              <w:t xml:space="preserve">6 physician + 66 hospital integration events; comparison of merged vs </w:t>
            </w:r>
            <w:r w:rsidR="00841A6F" w:rsidRPr="00A22324">
              <w:rPr>
                <w:color w:val="000000" w:themeColor="text1"/>
                <w:sz w:val="15"/>
                <w:szCs w:val="15"/>
              </w:rPr>
              <w:t>nonemerging</w:t>
            </w:r>
            <w:r w:rsidRPr="00A22324">
              <w:rPr>
                <w:color w:val="000000" w:themeColor="text1"/>
                <w:sz w:val="15"/>
                <w:szCs w:val="15"/>
              </w:rPr>
              <w:t xml:space="preserve"> providers before/after integration</w:t>
            </w:r>
          </w:p>
          <w:p w14:paraId="66CE4296" w14:textId="56C94A2A" w:rsidR="00A22324" w:rsidRDefault="00A22324" w:rsidP="00A22324">
            <w:pPr>
              <w:pStyle w:val="ListParagraph"/>
              <w:spacing w:after="30" w:line="228" w:lineRule="auto"/>
              <w:ind w:left="360"/>
            </w:pPr>
          </w:p>
        </w:tc>
      </w:tr>
      <w:tr w:rsidR="009245D8" w14:paraId="0505E1C0" w14:textId="77777777">
        <w:trPr>
          <w:trHeight w:val="520"/>
          <w:jc w:val="center"/>
        </w:trPr>
        <w:tc>
          <w:tcPr>
            <w:tcW w:w="2088" w:type="dxa"/>
            <w:shd w:val="clear" w:color="auto" w:fill="F7F7F7"/>
            <w:tcMar>
              <w:top w:w="55" w:type="dxa"/>
              <w:left w:w="55" w:type="dxa"/>
              <w:bottom w:w="55" w:type="dxa"/>
              <w:right w:w="55" w:type="dxa"/>
            </w:tcMar>
          </w:tcPr>
          <w:p w14:paraId="75D0197B" w14:textId="480E4116" w:rsidR="009245D8" w:rsidRDefault="009C72A7">
            <w:pPr>
              <w:spacing w:after="30" w:line="228" w:lineRule="auto"/>
            </w:pPr>
            <w:r>
              <w:rPr>
                <w:b/>
                <w:sz w:val="14"/>
              </w:rPr>
              <w:t>7.  MAGNITUDE OF THE SHIFT</w:t>
            </w:r>
            <w:r>
              <w:rPr>
                <w:b/>
                <w:sz w:val="14"/>
              </w:rPr>
              <w:br/>
              <w:t>Is physician ownership declining, and why?</w:t>
            </w:r>
          </w:p>
        </w:tc>
        <w:tc>
          <w:tcPr>
            <w:tcW w:w="3672" w:type="dxa"/>
            <w:shd w:val="clear" w:color="auto" w:fill="F7F7F7"/>
            <w:tcMar>
              <w:top w:w="55" w:type="dxa"/>
              <w:left w:w="55" w:type="dxa"/>
              <w:bottom w:w="55" w:type="dxa"/>
              <w:right w:w="55" w:type="dxa"/>
            </w:tcMar>
          </w:tcPr>
          <w:p w14:paraId="4B6E8C34" w14:textId="493E5174" w:rsidR="009245D8" w:rsidRDefault="00471AA0">
            <w:pPr>
              <w:spacing w:after="30" w:line="228" w:lineRule="auto"/>
            </w:pPr>
            <w:r>
              <w:t xml:space="preserve">Physician Practice Characteristics in 2024: Private Practices Account for Less than Half of Physicians in most </w:t>
            </w:r>
            <w:r w:rsidR="00B45C80">
              <w:t xml:space="preserve">Specialties </w:t>
            </w:r>
            <w:r>
              <w:t xml:space="preserve">  </w:t>
            </w:r>
          </w:p>
        </w:tc>
        <w:tc>
          <w:tcPr>
            <w:tcW w:w="2088" w:type="dxa"/>
            <w:shd w:val="clear" w:color="auto" w:fill="F7F7F7"/>
            <w:tcMar>
              <w:top w:w="55" w:type="dxa"/>
              <w:left w:w="55" w:type="dxa"/>
              <w:bottom w:w="55" w:type="dxa"/>
              <w:right w:w="55" w:type="dxa"/>
            </w:tcMar>
          </w:tcPr>
          <w:p w14:paraId="6B057EC7" w14:textId="40615299" w:rsidR="009245D8" w:rsidRDefault="00B45C80">
            <w:pPr>
              <w:spacing w:after="30" w:line="228" w:lineRule="auto"/>
            </w:pPr>
            <w:r>
              <w:t xml:space="preserve">Productive efficiency, Fixed vs variable costs economies of scale, transaction/administrative costs </w:t>
            </w:r>
          </w:p>
        </w:tc>
        <w:tc>
          <w:tcPr>
            <w:tcW w:w="3096" w:type="dxa"/>
            <w:shd w:val="clear" w:color="auto" w:fill="F7F7F7"/>
            <w:tcMar>
              <w:top w:w="55" w:type="dxa"/>
              <w:left w:w="55" w:type="dxa"/>
              <w:bottom w:w="55" w:type="dxa"/>
              <w:right w:w="55" w:type="dxa"/>
            </w:tcMar>
          </w:tcPr>
          <w:p w14:paraId="1F078977" w14:textId="77777777" w:rsidR="009245D8" w:rsidRDefault="009245D8">
            <w:pPr>
              <w:spacing w:after="30" w:line="228" w:lineRule="auto"/>
            </w:pPr>
          </w:p>
          <w:p w14:paraId="66A5833B" w14:textId="77777777" w:rsidR="00B45C80" w:rsidRDefault="00B45C80">
            <w:pPr>
              <w:spacing w:after="30" w:line="228" w:lineRule="auto"/>
            </w:pPr>
            <w:r>
              <w:t xml:space="preserve">AMA physician practice benchmark surgy which looks at how practices has changed since 2012 -2024.  </w:t>
            </w:r>
          </w:p>
          <w:p w14:paraId="59C75702" w14:textId="60974D4D" w:rsidR="00B45C80" w:rsidRDefault="00B45C80" w:rsidP="00B45C80">
            <w:pPr>
              <w:pStyle w:val="ListParagraph"/>
              <w:numPr>
                <w:ilvl w:val="0"/>
                <w:numId w:val="13"/>
              </w:numPr>
              <w:spacing w:after="30" w:line="228" w:lineRule="auto"/>
            </w:pPr>
            <w:r>
              <w:t xml:space="preserve">In 2024, 42.2% </w:t>
            </w:r>
            <w:r w:rsidR="00F97748">
              <w:t>physicians</w:t>
            </w:r>
            <w:r>
              <w:t xml:space="preserve"> were in private practice, which was </w:t>
            </w:r>
            <w:r w:rsidR="00F97748">
              <w:t>an</w:t>
            </w:r>
            <w:r>
              <w:t xml:space="preserve"> 18% point lower than 2012. </w:t>
            </w:r>
          </w:p>
          <w:p w14:paraId="10628542" w14:textId="77777777" w:rsidR="00B45C80" w:rsidRDefault="00B45C80" w:rsidP="00B45C80">
            <w:pPr>
              <w:pStyle w:val="ListParagraph"/>
              <w:numPr>
                <w:ilvl w:val="0"/>
                <w:numId w:val="13"/>
              </w:numPr>
              <w:spacing w:after="30" w:line="228" w:lineRule="auto"/>
            </w:pPr>
            <w:r>
              <w:t xml:space="preserve">47% of physicians worked in practice &lt; or = 10 physicians/practice which dipped &lt; 50% for the first time. </w:t>
            </w:r>
          </w:p>
          <w:p w14:paraId="39A41829" w14:textId="77777777" w:rsidR="00DF5AA5" w:rsidRDefault="00DF5AA5" w:rsidP="00B45C80">
            <w:pPr>
              <w:pStyle w:val="ListParagraph"/>
              <w:numPr>
                <w:ilvl w:val="0"/>
                <w:numId w:val="13"/>
              </w:numPr>
              <w:spacing w:after="30" w:line="228" w:lineRule="auto"/>
            </w:pPr>
            <w:r>
              <w:t xml:space="preserve">Only 34.4% of physicians had ownership stake in their practice in 2024 which was 18% points below the 53.2% share in 2012 and less than half the magnitude of 76% in the early 1980s. </w:t>
            </w:r>
          </w:p>
          <w:p w14:paraId="2A5D3F9C" w14:textId="0BA50C35" w:rsidR="00DF5AA5" w:rsidRDefault="00DF5AA5" w:rsidP="00B45C80">
            <w:pPr>
              <w:pStyle w:val="ListParagraph"/>
              <w:numPr>
                <w:ilvl w:val="0"/>
                <w:numId w:val="13"/>
              </w:numPr>
              <w:spacing w:after="30" w:line="228" w:lineRule="auto"/>
            </w:pPr>
            <w:r>
              <w:t>Employed physicians:</w:t>
            </w:r>
          </w:p>
          <w:p w14:paraId="4DA01E07" w14:textId="77777777" w:rsidR="00DF5AA5" w:rsidRDefault="00DF5AA5" w:rsidP="00B45C80">
            <w:pPr>
              <w:pStyle w:val="ListParagraph"/>
              <w:numPr>
                <w:ilvl w:val="0"/>
                <w:numId w:val="13"/>
              </w:numPr>
              <w:spacing w:after="30" w:line="228" w:lineRule="auto"/>
            </w:pPr>
            <w:r>
              <w:t>Physicians in hospital-owned practices: Increased from 23.4% in 2012 to 34.5% in 2024.</w:t>
              <w:br/>
              <w:t xml:space="preserve">Direct hospital employees/contractors: Increased from 5.6% in 2012 to 12.2% in 2024. </w:t>
            </w:r>
          </w:p>
          <w:p w14:paraId="041245C1" w14:textId="2D184945" w:rsidR="00DF5AA5" w:rsidRDefault="00DF5AA5" w:rsidP="00B45C80">
            <w:pPr>
              <w:pStyle w:val="ListParagraph"/>
              <w:numPr>
                <w:ilvl w:val="0"/>
                <w:numId w:val="13"/>
              </w:numPr>
              <w:spacing w:after="30" w:line="228" w:lineRule="auto"/>
            </w:pPr>
            <w:r>
              <w:t xml:space="preserve">Private equity owned: in </w:t>
            </w:r>
            <w:r w:rsidR="00F97748">
              <w:t>2024, 6.5</w:t>
            </w:r>
            <w:r>
              <w:t xml:space="preserve">% physicians reported their practice as equity owned compared to 2020 and 2022 which were both around 4.5% </w:t>
            </w:r>
          </w:p>
          <w:p w14:paraId="2389E965" w14:textId="5F8D5D0B" w:rsidR="00DF5AA5" w:rsidRDefault="00DF5AA5" w:rsidP="00B45C80">
            <w:pPr>
              <w:pStyle w:val="ListParagraph"/>
              <w:numPr>
                <w:ilvl w:val="0"/>
                <w:numId w:val="13"/>
              </w:numPr>
              <w:spacing w:after="30" w:line="228" w:lineRule="auto"/>
            </w:pPr>
            <w:r>
              <w:t xml:space="preserve">Doctors who remained in private practices were mostly in surgical specialties </w:t>
            </w:r>
            <w:r w:rsidR="00F97748">
              <w:t>Ophthalmology (70.4</w:t>
            </w:r>
            <w:r>
              <w:t xml:space="preserve">%), orthopedic </w:t>
            </w:r>
            <w:r w:rsidR="00F97748">
              <w:t>surgery (54</w:t>
            </w:r>
            <w:r>
              <w:t xml:space="preserve">%) followed by other surgical specialists with combined share of 51.2%. </w:t>
            </w:r>
          </w:p>
          <w:p w14:paraId="60C65718" w14:textId="20C432AD" w:rsidR="00DF5AA5" w:rsidRDefault="00DF5AA5" w:rsidP="00B45C80">
            <w:pPr>
              <w:pStyle w:val="ListParagraph"/>
              <w:numPr>
                <w:ilvl w:val="0"/>
                <w:numId w:val="13"/>
              </w:numPr>
              <w:spacing w:after="30" w:line="228" w:lineRule="auto"/>
            </w:pPr>
            <w:r>
              <w:t xml:space="preserve">Private practice for primary care </w:t>
            </w:r>
            <w:r w:rsidR="00F97748">
              <w:t>specialties (IM</w:t>
            </w:r>
            <w:r>
              <w:t xml:space="preserve">, FP, </w:t>
            </w:r>
            <w:r w:rsidR="00F97748">
              <w:t>Peds) were</w:t>
            </w:r>
            <w:r>
              <w:t xml:space="preserve"> </w:t>
            </w:r>
            <w:r w:rsidR="00F97748">
              <w:t>like</w:t>
            </w:r>
            <w:r>
              <w:t xml:space="preserve"> each </w:t>
            </w:r>
            <w:r w:rsidR="00F97748">
              <w:t>other (high</w:t>
            </w:r>
            <w:r>
              <w:t xml:space="preserve"> 30-low 40%) </w:t>
            </w:r>
          </w:p>
          <w:p w14:paraId="181DB7F3" w14:textId="77777777" w:rsidR="00AB5D67" w:rsidRDefault="00DF5AA5" w:rsidP="00F97748">
            <w:pPr>
              <w:pStyle w:val="ListParagraph"/>
              <w:numPr>
                <w:ilvl w:val="0"/>
                <w:numId w:val="13"/>
              </w:numPr>
              <w:spacing w:after="30" w:line="228" w:lineRule="auto"/>
            </w:pPr>
            <w:r>
              <w:t>Private Ob-Gyn was a little higher than primary care @ 45%.</w:t>
            </w:r>
          </w:p>
          <w:p w14:paraId="3114DAE3" w14:textId="77777777" w:rsidR="00DF5AA5" w:rsidRDefault="00AB5D67" w:rsidP="00F97748">
            <w:pPr>
              <w:pStyle w:val="ListParagraph"/>
              <w:numPr>
                <w:ilvl w:val="0"/>
                <w:numId w:val="13"/>
              </w:numPr>
              <w:spacing w:after="30" w:line="228" w:lineRule="auto"/>
            </w:pPr>
            <w:r>
              <w:t xml:space="preserve">Physician benchmark survey graph </w:t>
            </w:r>
            <w:r w:rsidR="001116FC">
              <w:t xml:space="preserve"> </w:t>
            </w:r>
          </w:p>
          <w:p w14:paraId="4CDD9AF8" w14:textId="428C36C3" w:rsidR="00AB5D67" w:rsidRDefault="00AB5D67" w:rsidP="00AB5D67">
            <w:pPr>
              <w:spacing w:after="30" w:line="228" w:lineRule="auto"/>
            </w:pPr>
          </w:p>
        </w:tc>
        <w:tc>
          <w:tcPr>
            <w:tcW w:w="1512" w:type="dxa"/>
            <w:shd w:val="clear" w:color="auto" w:fill="F7F7F7"/>
            <w:tcMar>
              <w:top w:w="55" w:type="dxa"/>
              <w:left w:w="55" w:type="dxa"/>
              <w:bottom w:w="55" w:type="dxa"/>
              <w:right w:w="55" w:type="dxa"/>
            </w:tcMar>
          </w:tcPr>
          <w:p w14:paraId="6C8EED8A" w14:textId="51BE2968" w:rsidR="009245D8" w:rsidRDefault="009245D8">
            <w:pPr>
              <w:spacing w:after="30" w:line="228" w:lineRule="auto"/>
            </w:pPr>
          </w:p>
        </w:tc>
        <w:tc>
          <w:tcPr>
            <w:tcW w:w="1512" w:type="dxa"/>
            <w:shd w:val="clear" w:color="auto" w:fill="F7F7F7"/>
            <w:tcMar>
              <w:top w:w="55" w:type="dxa"/>
              <w:left w:w="55" w:type="dxa"/>
              <w:bottom w:w="55" w:type="dxa"/>
              <w:right w:w="55" w:type="dxa"/>
            </w:tcMar>
          </w:tcPr>
          <w:p w14:paraId="651D62D4" w14:textId="77777777" w:rsidR="00DF5AA5" w:rsidRDefault="00DF5AA5">
            <w:pPr>
              <w:spacing w:after="30" w:line="228" w:lineRule="auto"/>
            </w:pPr>
          </w:p>
          <w:p w14:paraId="423BB1FB" w14:textId="35D30C6B" w:rsidR="00DF5AA5" w:rsidRDefault="00DF5AA5">
            <w:pPr>
              <w:spacing w:after="30" w:line="228" w:lineRule="auto"/>
            </w:pPr>
            <w:r>
              <w:t>Article does mention t</w:t>
            </w:r>
            <w:r w:rsidR="00F97748">
              <w:t>hat a decade prior to 2024, private care physicians were facing stagnant payment rents in the rise of a rising costs of private practice.  S</w:t>
            </w:r>
          </w:p>
        </w:tc>
        <w:tc>
          <w:tcPr>
            <w:tcW w:w="2376" w:type="dxa"/>
            <w:shd w:val="clear" w:color="auto" w:fill="F7F7F7"/>
            <w:tcMar>
              <w:top w:w="55" w:type="dxa"/>
              <w:left w:w="55" w:type="dxa"/>
              <w:bottom w:w="55" w:type="dxa"/>
              <w:right w:w="55" w:type="dxa"/>
            </w:tcMar>
          </w:tcPr>
          <w:p w14:paraId="7DB98CCF" w14:textId="77777777" w:rsidR="009245D8" w:rsidRDefault="00F97748">
            <w:pPr>
              <w:spacing w:after="30" w:line="228" w:lineRule="auto"/>
            </w:pPr>
            <w:r>
              <w:t>Increased market power</w:t>
            </w:r>
          </w:p>
          <w:p w14:paraId="0727C4C7" w14:textId="70A79673" w:rsidR="00F97748" w:rsidRDefault="00F97748">
            <w:pPr>
              <w:spacing w:after="30" w:line="228" w:lineRule="auto"/>
            </w:pPr>
            <w:r>
              <w:t xml:space="preserve">Leverage with insurers for reimbursement </w:t>
            </w:r>
          </w:p>
        </w:tc>
        <w:tc>
          <w:tcPr>
            <w:tcW w:w="2520" w:type="dxa"/>
            <w:shd w:val="clear" w:color="auto" w:fill="F7F7F7"/>
            <w:tcMar>
              <w:top w:w="55" w:type="dxa"/>
              <w:left w:w="55" w:type="dxa"/>
              <w:bottom w:w="55" w:type="dxa"/>
              <w:right w:w="55" w:type="dxa"/>
            </w:tcMar>
          </w:tcPr>
          <w:p w14:paraId="1771D703" w14:textId="77777777" w:rsidR="009245D8" w:rsidRDefault="00F97748">
            <w:pPr>
              <w:spacing w:after="30" w:line="228" w:lineRule="auto"/>
            </w:pPr>
            <w:r>
              <w:t xml:space="preserve">Reduced competition </w:t>
            </w:r>
          </w:p>
          <w:p w14:paraId="2EBEC551" w14:textId="77777777" w:rsidR="00F97748" w:rsidRDefault="00F97748">
            <w:pPr>
              <w:spacing w:after="30" w:line="228" w:lineRule="auto"/>
            </w:pPr>
            <w:r>
              <w:t xml:space="preserve">Autonomy </w:t>
            </w:r>
          </w:p>
          <w:p w14:paraId="1BB4AA90" w14:textId="464A5B25" w:rsidR="00F97748" w:rsidRDefault="00F97748">
            <w:pPr>
              <w:spacing w:after="30" w:line="228" w:lineRule="auto"/>
            </w:pPr>
            <w:r>
              <w:t xml:space="preserve">Antitrust issues  </w:t>
            </w:r>
          </w:p>
        </w:tc>
        <w:tc>
          <w:tcPr>
            <w:tcW w:w="2952" w:type="dxa"/>
            <w:shd w:val="clear" w:color="auto" w:fill="F7F7F7"/>
            <w:tcMar>
              <w:top w:w="55" w:type="dxa"/>
              <w:left w:w="55" w:type="dxa"/>
              <w:bottom w:w="55" w:type="dxa"/>
              <w:right w:w="55" w:type="dxa"/>
            </w:tcMar>
          </w:tcPr>
          <w:p w14:paraId="1DACEB2F" w14:textId="5209C090" w:rsidR="009245D8" w:rsidRDefault="00F97748">
            <w:pPr>
              <w:spacing w:after="30" w:line="228" w:lineRule="auto"/>
            </w:pPr>
            <w:r>
              <w:t xml:space="preserve">Article surveyed docs whey practices were sold and top reasons were: </w:t>
            </w:r>
          </w:p>
          <w:p w14:paraId="4D3654A2" w14:textId="7A81225A" w:rsidR="00F97748" w:rsidRDefault="00F97748" w:rsidP="00F97748">
            <w:pPr>
              <w:spacing w:after="30" w:line="228" w:lineRule="auto"/>
            </w:pPr>
            <w:r>
              <w:t xml:space="preserve">Better negotiation of higher payment rates with payers (70.8%) </w:t>
            </w:r>
          </w:p>
          <w:p w14:paraId="3F1AB71B" w14:textId="797157D0" w:rsidR="00F97748" w:rsidRDefault="00F97748" w:rsidP="00F97748">
            <w:pPr>
              <w:spacing w:after="30" w:line="228" w:lineRule="auto"/>
            </w:pPr>
            <w:r>
              <w:t xml:space="preserve">Need to improve access to costly resources (64.9%) </w:t>
            </w:r>
          </w:p>
          <w:p w14:paraId="7167CEDC" w14:textId="4A0A2760" w:rsidR="00F97748" w:rsidRDefault="00F97748" w:rsidP="00F97748">
            <w:pPr>
              <w:spacing w:after="30" w:line="228" w:lineRule="auto"/>
            </w:pPr>
            <w:r>
              <w:t xml:space="preserve">Better manage payers’ regulatory and administrative requirements (63.6%) </w:t>
            </w:r>
          </w:p>
          <w:p w14:paraId="47888D2D" w14:textId="51E8634A" w:rsidR="00F97748" w:rsidRDefault="00F97748" w:rsidP="00F97748">
            <w:pPr>
              <w:spacing w:after="30" w:line="228" w:lineRule="auto"/>
            </w:pPr>
            <w:r>
              <w:t xml:space="preserve">Ease participation in risk-based payment models (55.1%). </w:t>
            </w:r>
          </w:p>
          <w:p w14:paraId="725BED1A" w14:textId="4F8358D6" w:rsidR="00F97748" w:rsidRDefault="00F97748" w:rsidP="00F97748">
            <w:pPr>
              <w:spacing w:after="30" w:line="228" w:lineRule="auto"/>
            </w:pPr>
            <w:r>
              <w:t xml:space="preserve">Need to increase availability of additional services that patient needs and better compete for employees in the labor market (just under 50%) </w:t>
            </w:r>
          </w:p>
          <w:p w14:paraId="361D9DE5" w14:textId="77777777" w:rsidR="00F97748" w:rsidRDefault="00F97748">
            <w:pPr>
              <w:spacing w:after="30" w:line="228" w:lineRule="auto"/>
            </w:pPr>
          </w:p>
          <w:p w14:paraId="7D00067D" w14:textId="1EE68410" w:rsidR="00F97748" w:rsidRDefault="00F97748">
            <w:pPr>
              <w:spacing w:after="30" w:line="228" w:lineRule="auto"/>
            </w:pPr>
          </w:p>
        </w:tc>
      </w:tr>
      <w:tr w:rsidR="009245D8" w14:paraId="533F0B7A" w14:textId="77777777">
        <w:trPr>
          <w:trHeight w:val="520"/>
          <w:jc w:val="center"/>
        </w:trPr>
        <w:tc>
          <w:tcPr>
            <w:tcW w:w="2088" w:type="dxa"/>
            <w:shd w:val="clear" w:color="auto" w:fill="F7F7F7"/>
            <w:tcMar>
              <w:top w:w="55" w:type="dxa"/>
              <w:left w:w="55" w:type="dxa"/>
              <w:bottom w:w="55" w:type="dxa"/>
              <w:right w:w="55" w:type="dxa"/>
            </w:tcMar>
          </w:tcPr>
          <w:p w14:paraId="4DB22B49" w14:textId="183329E0" w:rsidR="009245D8" w:rsidRDefault="009245D8">
            <w:pPr>
              <w:spacing w:after="30" w:line="228" w:lineRule="auto"/>
            </w:pPr>
          </w:p>
        </w:tc>
        <w:tc>
          <w:tcPr>
            <w:tcW w:w="3672" w:type="dxa"/>
            <w:shd w:val="clear" w:color="auto" w:fill="F7F7F7"/>
            <w:tcMar>
              <w:top w:w="55" w:type="dxa"/>
              <w:left w:w="55" w:type="dxa"/>
              <w:bottom w:w="55" w:type="dxa"/>
              <w:right w:w="55" w:type="dxa"/>
            </w:tcMar>
          </w:tcPr>
          <w:p w14:paraId="473373A0" w14:textId="77777777" w:rsidR="009245D8" w:rsidRDefault="009245D8">
            <w:pPr>
              <w:spacing w:after="30" w:line="228" w:lineRule="auto"/>
            </w:pPr>
          </w:p>
        </w:tc>
        <w:tc>
          <w:tcPr>
            <w:tcW w:w="2088" w:type="dxa"/>
            <w:shd w:val="clear" w:color="auto" w:fill="F7F7F7"/>
            <w:tcMar>
              <w:top w:w="55" w:type="dxa"/>
              <w:left w:w="55" w:type="dxa"/>
              <w:bottom w:w="55" w:type="dxa"/>
              <w:right w:w="55" w:type="dxa"/>
            </w:tcMar>
          </w:tcPr>
          <w:p w14:paraId="1BE78E61" w14:textId="77777777" w:rsidR="009245D8" w:rsidRDefault="009245D8">
            <w:pPr>
              <w:spacing w:after="30" w:line="228" w:lineRule="auto"/>
            </w:pPr>
          </w:p>
        </w:tc>
        <w:tc>
          <w:tcPr>
            <w:tcW w:w="3096" w:type="dxa"/>
            <w:shd w:val="clear" w:color="auto" w:fill="F7F7F7"/>
            <w:tcMar>
              <w:top w:w="55" w:type="dxa"/>
              <w:left w:w="55" w:type="dxa"/>
              <w:bottom w:w="55" w:type="dxa"/>
              <w:right w:w="55" w:type="dxa"/>
            </w:tcMar>
          </w:tcPr>
          <w:p w14:paraId="52F4024C" w14:textId="77777777" w:rsidR="00AB5D67" w:rsidRDefault="00AB5D67" w:rsidP="00AB5D67">
            <w:pPr>
              <w:spacing w:after="30" w:line="228" w:lineRule="auto"/>
            </w:pPr>
            <w:r>
              <w:t>Observation by M Kim-the physicians most likely to remain in private practices tend to make higher salaries/income vs primary care.</w:t>
            </w:r>
          </w:p>
          <w:p w14:paraId="1D4DDD22" w14:textId="77777777" w:rsidR="009245D8" w:rsidRDefault="009245D8">
            <w:pPr>
              <w:spacing w:after="30" w:line="228" w:lineRule="auto"/>
            </w:pPr>
          </w:p>
        </w:tc>
        <w:tc>
          <w:tcPr>
            <w:tcW w:w="1512" w:type="dxa"/>
            <w:shd w:val="clear" w:color="auto" w:fill="F7F7F7"/>
            <w:tcMar>
              <w:top w:w="55" w:type="dxa"/>
              <w:left w:w="55" w:type="dxa"/>
              <w:bottom w:w="55" w:type="dxa"/>
              <w:right w:w="55" w:type="dxa"/>
            </w:tcMar>
          </w:tcPr>
          <w:p w14:paraId="4F29162D" w14:textId="77777777" w:rsidR="009245D8" w:rsidRDefault="009245D8">
            <w:pPr>
              <w:spacing w:after="30" w:line="228" w:lineRule="auto"/>
            </w:pPr>
          </w:p>
        </w:tc>
        <w:tc>
          <w:tcPr>
            <w:tcW w:w="1512" w:type="dxa"/>
            <w:shd w:val="clear" w:color="auto" w:fill="F7F7F7"/>
            <w:tcMar>
              <w:top w:w="55" w:type="dxa"/>
              <w:left w:w="55" w:type="dxa"/>
              <w:bottom w:w="55" w:type="dxa"/>
              <w:right w:w="55" w:type="dxa"/>
            </w:tcMar>
          </w:tcPr>
          <w:p w14:paraId="7644985B" w14:textId="77777777" w:rsidR="009245D8" w:rsidRDefault="009245D8">
            <w:pPr>
              <w:spacing w:after="30" w:line="228" w:lineRule="auto"/>
            </w:pPr>
          </w:p>
        </w:tc>
        <w:tc>
          <w:tcPr>
            <w:tcW w:w="2376" w:type="dxa"/>
            <w:shd w:val="clear" w:color="auto" w:fill="F7F7F7"/>
            <w:tcMar>
              <w:top w:w="55" w:type="dxa"/>
              <w:left w:w="55" w:type="dxa"/>
              <w:bottom w:w="55" w:type="dxa"/>
              <w:right w:w="55" w:type="dxa"/>
            </w:tcMar>
          </w:tcPr>
          <w:p w14:paraId="4095DD5C" w14:textId="77777777" w:rsidR="009245D8" w:rsidRDefault="009245D8">
            <w:pPr>
              <w:spacing w:after="30" w:line="228" w:lineRule="auto"/>
            </w:pPr>
          </w:p>
        </w:tc>
        <w:tc>
          <w:tcPr>
            <w:tcW w:w="2520" w:type="dxa"/>
            <w:shd w:val="clear" w:color="auto" w:fill="F7F7F7"/>
            <w:tcMar>
              <w:top w:w="55" w:type="dxa"/>
              <w:left w:w="55" w:type="dxa"/>
              <w:bottom w:w="55" w:type="dxa"/>
              <w:right w:w="55" w:type="dxa"/>
            </w:tcMar>
          </w:tcPr>
          <w:p w14:paraId="5059E777" w14:textId="77777777" w:rsidR="009245D8" w:rsidRDefault="009245D8">
            <w:pPr>
              <w:spacing w:after="30" w:line="228" w:lineRule="auto"/>
            </w:pPr>
          </w:p>
        </w:tc>
        <w:tc>
          <w:tcPr>
            <w:tcW w:w="2952" w:type="dxa"/>
            <w:shd w:val="clear" w:color="auto" w:fill="F7F7F7"/>
            <w:tcMar>
              <w:top w:w="55" w:type="dxa"/>
              <w:left w:w="55" w:type="dxa"/>
              <w:bottom w:w="55" w:type="dxa"/>
              <w:right w:w="55" w:type="dxa"/>
            </w:tcMar>
          </w:tcPr>
          <w:p w14:paraId="2411A04A" w14:textId="77777777" w:rsidR="009245D8" w:rsidRDefault="009245D8">
            <w:pPr>
              <w:spacing w:after="30" w:line="228" w:lineRule="auto"/>
            </w:pPr>
          </w:p>
        </w:tc>
      </w:tr>
      <w:tr w:rsidR="009245D8" w14:paraId="532E6B49" w14:textId="77777777">
        <w:trPr>
          <w:trHeight w:val="520"/>
          <w:jc w:val="center"/>
        </w:trPr>
        <w:tc>
          <w:tcPr>
            <w:tcW w:w="2088" w:type="dxa"/>
            <w:shd w:val="clear" w:color="auto" w:fill="F7F7F7"/>
            <w:tcMar>
              <w:top w:w="55" w:type="dxa"/>
              <w:left w:w="55" w:type="dxa"/>
              <w:bottom w:w="55" w:type="dxa"/>
              <w:right w:w="55" w:type="dxa"/>
            </w:tcMar>
          </w:tcPr>
          <w:p w14:paraId="68007732" w14:textId="77777777" w:rsidR="009245D8" w:rsidRDefault="00B53414">
            <w:pPr>
              <w:spacing w:after="30" w:line="228" w:lineRule="auto"/>
              <w:rPr>
                <w:b/>
                <w:sz w:val="14"/>
              </w:rPr>
            </w:pPr>
            <w:r>
              <w:rPr>
                <w:b/>
                <w:sz w:val="14"/>
              </w:rPr>
              <w:t xml:space="preserve">8. IMPACT ON PATIENT CARE?  </w:t>
            </w:r>
          </w:p>
          <w:p w14:paraId="34A823EF" w14:textId="250EE3DE" w:rsidR="00B53414" w:rsidRDefault="00B53414">
            <w:pPr>
              <w:spacing w:after="30" w:line="228" w:lineRule="auto"/>
            </w:pPr>
            <w:r>
              <w:rPr>
                <w:b/>
                <w:sz w:val="14"/>
              </w:rPr>
              <w:t xml:space="preserve">How does physician integration impact patient care </w:t>
            </w:r>
          </w:p>
        </w:tc>
        <w:tc>
          <w:tcPr>
            <w:tcW w:w="3672" w:type="dxa"/>
            <w:shd w:val="clear" w:color="auto" w:fill="F7F7F7"/>
            <w:tcMar>
              <w:top w:w="55" w:type="dxa"/>
              <w:left w:w="55" w:type="dxa"/>
              <w:bottom w:w="55" w:type="dxa"/>
              <w:right w:w="55" w:type="dxa"/>
            </w:tcMar>
          </w:tcPr>
          <w:p w14:paraId="49DFF144" w14:textId="226D79CF" w:rsidR="00214AEA" w:rsidRPr="00214AEA" w:rsidRDefault="00214AEA" w:rsidP="00214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Arial"/>
                <w:color w:val="000000"/>
                <w:szCs w:val="15"/>
              </w:rPr>
            </w:pPr>
            <w:r w:rsidRPr="00214AEA">
              <w:rPr>
                <w:rFonts w:cs="Arial"/>
                <w:color w:val="000000"/>
                <w:szCs w:val="15"/>
              </w:rPr>
              <w:t xml:space="preserve">Impact of Vertical Integration on Physician Behavior and Healthcare Delivery Evidence from Gastroenterology </w:t>
            </w:r>
            <w:r w:rsidR="00841A6F" w:rsidRPr="00214AEA">
              <w:rPr>
                <w:rFonts w:cs="Arial"/>
                <w:color w:val="000000"/>
                <w:szCs w:val="15"/>
              </w:rPr>
              <w:t>Practices Working</w:t>
            </w:r>
            <w:r w:rsidRPr="00214AEA">
              <w:rPr>
                <w:rFonts w:cs="Arial"/>
                <w:color w:val="000000"/>
                <w:szCs w:val="15"/>
              </w:rPr>
              <w:t xml:space="preserve"> Paper </w:t>
            </w:r>
          </w:p>
          <w:p w14:paraId="31774EC8" w14:textId="2F37A6AE" w:rsidR="009245D8" w:rsidRDefault="00214AEA" w:rsidP="00214AEA">
            <w:pPr>
              <w:spacing w:after="30" w:line="228" w:lineRule="auto"/>
            </w:pPr>
            <w:r w:rsidRPr="00214AEA">
              <w:rPr>
                <w:rFonts w:cs="Arial"/>
                <w:color w:val="000000"/>
                <w:szCs w:val="15"/>
              </w:rPr>
              <w:t>Saroush Sagahafian</w:t>
            </w:r>
          </w:p>
        </w:tc>
        <w:tc>
          <w:tcPr>
            <w:tcW w:w="2088" w:type="dxa"/>
            <w:shd w:val="clear" w:color="auto" w:fill="F7F7F7"/>
            <w:tcMar>
              <w:top w:w="55" w:type="dxa"/>
              <w:left w:w="55" w:type="dxa"/>
              <w:bottom w:w="55" w:type="dxa"/>
              <w:right w:w="55" w:type="dxa"/>
            </w:tcMar>
          </w:tcPr>
          <w:p w14:paraId="4467F868" w14:textId="77777777" w:rsidR="00214AEA" w:rsidRDefault="00214AEA">
            <w:pPr>
              <w:spacing w:after="30" w:line="228" w:lineRule="auto"/>
            </w:pPr>
            <w:r>
              <w:t xml:space="preserve">Referral steering </w:t>
            </w:r>
          </w:p>
          <w:p w14:paraId="111CB3D7" w14:textId="23BA7D5C" w:rsidR="00214AEA" w:rsidRDefault="00214AEA">
            <w:pPr>
              <w:spacing w:after="30" w:line="228" w:lineRule="auto"/>
            </w:pPr>
            <w:r>
              <w:t xml:space="preserve">Productive efficiency </w:t>
            </w:r>
          </w:p>
          <w:p w14:paraId="11FD255C" w14:textId="5FAA1E08" w:rsidR="00214AEA" w:rsidRDefault="00214AEA">
            <w:pPr>
              <w:spacing w:after="30" w:line="228" w:lineRule="auto"/>
            </w:pPr>
            <w:r>
              <w:t xml:space="preserve">Pricing </w:t>
            </w:r>
          </w:p>
          <w:p w14:paraId="49162905" w14:textId="46722171" w:rsidR="00214AEA" w:rsidRDefault="00214AEA">
            <w:pPr>
              <w:spacing w:after="30" w:line="228" w:lineRule="auto"/>
            </w:pPr>
          </w:p>
        </w:tc>
        <w:tc>
          <w:tcPr>
            <w:tcW w:w="3096" w:type="dxa"/>
            <w:shd w:val="clear" w:color="auto" w:fill="F7F7F7"/>
            <w:tcMar>
              <w:top w:w="55" w:type="dxa"/>
              <w:left w:w="55" w:type="dxa"/>
              <w:bottom w:w="55" w:type="dxa"/>
              <w:right w:w="55" w:type="dxa"/>
            </w:tcMar>
          </w:tcPr>
          <w:p w14:paraId="665AD50D" w14:textId="48C8FA3A" w:rsidR="00214AEA" w:rsidRPr="00214AEA" w:rsidRDefault="00214AEA" w:rsidP="00214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Arial"/>
                <w:color w:val="000000"/>
                <w:szCs w:val="15"/>
              </w:rPr>
            </w:pPr>
            <w:r w:rsidRPr="00214AEA">
              <w:rPr>
                <w:rFonts w:cs="Arial"/>
                <w:color w:val="000000"/>
                <w:szCs w:val="15"/>
              </w:rPr>
              <w:t xml:space="preserve">Study used causal model of </w:t>
            </w:r>
            <w:r w:rsidR="00841A6F" w:rsidRPr="00214AEA">
              <w:rPr>
                <w:rFonts w:cs="Arial"/>
                <w:color w:val="000000"/>
                <w:szCs w:val="15"/>
              </w:rPr>
              <w:t>large</w:t>
            </w:r>
            <w:r w:rsidR="00841A6F">
              <w:rPr>
                <w:rFonts w:cs="Arial"/>
                <w:color w:val="000000"/>
                <w:szCs w:val="15"/>
              </w:rPr>
              <w:t>-scale</w:t>
            </w:r>
            <w:r w:rsidRPr="00214AEA">
              <w:rPr>
                <w:rFonts w:cs="Arial"/>
                <w:color w:val="000000"/>
                <w:szCs w:val="15"/>
              </w:rPr>
              <w:t xml:space="preserve"> patient level national panel data including 2.6 million patient visits across 5488 physicians to examine changes in health care delivery after physician integration.  </w:t>
            </w:r>
          </w:p>
          <w:p w14:paraId="45AC52E0" w14:textId="77777777" w:rsidR="00214AEA" w:rsidRPr="00214AEA" w:rsidRDefault="00214AEA" w:rsidP="00214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Arial"/>
                <w:color w:val="000000"/>
                <w:szCs w:val="15"/>
              </w:rPr>
            </w:pPr>
          </w:p>
          <w:p w14:paraId="3A2B028E" w14:textId="10B55499" w:rsidR="00214AEA" w:rsidRPr="00214AEA" w:rsidRDefault="00214AEA" w:rsidP="00214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Arial"/>
                <w:color w:val="000000"/>
                <w:szCs w:val="15"/>
              </w:rPr>
            </w:pPr>
            <w:r w:rsidRPr="00214AEA">
              <w:rPr>
                <w:rFonts w:cs="Arial"/>
                <w:color w:val="000000"/>
                <w:szCs w:val="15"/>
              </w:rPr>
              <w:t xml:space="preserve">Results showed for each colonoscopy visit, a physician’s integration as associated with $127 increase in Medicare spending. Effect the driving by increase in facility fees after physician has integrated. Annual colonoscopy Medicare spending increases by $3851/year after physicians integrate driving by increase in physician throughput and increase in per procedure spending.  It </w:t>
            </w:r>
            <w:r w:rsidR="00841A6F" w:rsidRPr="00214AEA">
              <w:rPr>
                <w:rFonts w:cs="Arial"/>
                <w:color w:val="000000"/>
                <w:szCs w:val="15"/>
              </w:rPr>
              <w:t>did increase</w:t>
            </w:r>
            <w:r w:rsidRPr="00214AEA">
              <w:rPr>
                <w:rFonts w:cs="Arial"/>
                <w:color w:val="000000"/>
                <w:szCs w:val="15"/>
              </w:rPr>
              <w:t xml:space="preserve"> operational efficiency possibly due to physician </w:t>
            </w:r>
            <w:r w:rsidR="00841A6F">
              <w:rPr>
                <w:rFonts w:cs="Arial"/>
                <w:color w:val="000000"/>
                <w:szCs w:val="15"/>
              </w:rPr>
              <w:t xml:space="preserve">throughput </w:t>
            </w:r>
          </w:p>
          <w:p w14:paraId="1F0DDE59" w14:textId="77777777" w:rsidR="00214AEA" w:rsidRPr="00214AEA" w:rsidRDefault="00214AEA" w:rsidP="00214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Arial"/>
                <w:color w:val="000000"/>
                <w:szCs w:val="15"/>
              </w:rPr>
            </w:pPr>
          </w:p>
          <w:p w14:paraId="723080E7" w14:textId="770A0AE8" w:rsidR="009245D8" w:rsidRPr="00214AEA" w:rsidRDefault="00214AEA" w:rsidP="00214AEA">
            <w:pPr>
              <w:spacing w:after="30" w:line="228" w:lineRule="auto"/>
              <w:rPr>
                <w:szCs w:val="15"/>
              </w:rPr>
            </w:pPr>
            <w:r w:rsidRPr="00214AEA">
              <w:rPr>
                <w:rFonts w:cs="Arial"/>
                <w:color w:val="000000"/>
                <w:szCs w:val="15"/>
              </w:rPr>
              <w:t xml:space="preserve">Noted with increased in post procedure complications including </w:t>
            </w:r>
            <w:r w:rsidR="00841A6F" w:rsidRPr="00214AEA">
              <w:rPr>
                <w:rFonts w:cs="Arial"/>
                <w:color w:val="000000"/>
                <w:szCs w:val="15"/>
              </w:rPr>
              <w:t>bleeding (3.8</w:t>
            </w:r>
            <w:r w:rsidRPr="00214AEA">
              <w:rPr>
                <w:rFonts w:cs="Arial"/>
                <w:color w:val="000000"/>
                <w:szCs w:val="15"/>
              </w:rPr>
              <w:t xml:space="preserve">/1000 colonoscopies), cardiac </w:t>
            </w:r>
            <w:r w:rsidR="00841A6F" w:rsidRPr="00214AEA">
              <w:rPr>
                <w:rFonts w:cs="Arial"/>
                <w:color w:val="000000"/>
                <w:szCs w:val="15"/>
              </w:rPr>
              <w:t>symptoms (5.0</w:t>
            </w:r>
            <w:r w:rsidRPr="00214AEA">
              <w:rPr>
                <w:rFonts w:cs="Arial"/>
                <w:color w:val="000000"/>
                <w:szCs w:val="15"/>
              </w:rPr>
              <w:t xml:space="preserve">/1000 </w:t>
            </w:r>
            <w:r w:rsidR="00841A6F" w:rsidRPr="00214AEA">
              <w:rPr>
                <w:rFonts w:cs="Arial"/>
                <w:color w:val="000000"/>
                <w:szCs w:val="15"/>
              </w:rPr>
              <w:t>colonoscopies) and</w:t>
            </w:r>
            <w:r w:rsidRPr="00214AEA">
              <w:rPr>
                <w:rFonts w:cs="Arial"/>
                <w:color w:val="000000"/>
                <w:szCs w:val="15"/>
              </w:rPr>
              <w:t xml:space="preserve"> </w:t>
            </w:r>
            <w:r w:rsidR="00841A6F" w:rsidRPr="00214AEA">
              <w:rPr>
                <w:rFonts w:cs="Arial"/>
                <w:color w:val="000000"/>
                <w:szCs w:val="15"/>
              </w:rPr>
              <w:t>non-serious</w:t>
            </w:r>
            <w:r w:rsidRPr="00214AEA">
              <w:rPr>
                <w:rFonts w:cs="Arial"/>
                <w:color w:val="000000"/>
                <w:szCs w:val="15"/>
              </w:rPr>
              <w:t xml:space="preserve"> GI symptoms </w:t>
            </w:r>
            <w:r w:rsidR="00841A6F" w:rsidRPr="00214AEA">
              <w:rPr>
                <w:rFonts w:cs="Arial"/>
                <w:color w:val="000000"/>
                <w:szCs w:val="15"/>
              </w:rPr>
              <w:t>(3.3</w:t>
            </w:r>
            <w:r w:rsidRPr="00214AEA">
              <w:rPr>
                <w:rFonts w:cs="Arial"/>
                <w:color w:val="000000"/>
                <w:szCs w:val="15"/>
              </w:rPr>
              <w:t>/1000 colonoscopies) after colonoscopy when physicians integrate.  See Table 8</w:t>
            </w:r>
          </w:p>
        </w:tc>
        <w:tc>
          <w:tcPr>
            <w:tcW w:w="1512" w:type="dxa"/>
            <w:shd w:val="clear" w:color="auto" w:fill="F7F7F7"/>
            <w:tcMar>
              <w:top w:w="55" w:type="dxa"/>
              <w:left w:w="55" w:type="dxa"/>
              <w:bottom w:w="55" w:type="dxa"/>
              <w:right w:w="55" w:type="dxa"/>
            </w:tcMar>
          </w:tcPr>
          <w:p w14:paraId="49CE00D3" w14:textId="24D73B74" w:rsidR="009245D8" w:rsidRDefault="00214AEA">
            <w:pPr>
              <w:spacing w:after="30" w:line="228" w:lineRule="auto"/>
            </w:pPr>
            <w:r>
              <w:t xml:space="preserve">Weakens competition </w:t>
            </w:r>
          </w:p>
        </w:tc>
        <w:tc>
          <w:tcPr>
            <w:tcW w:w="1512" w:type="dxa"/>
            <w:shd w:val="clear" w:color="auto" w:fill="F7F7F7"/>
            <w:tcMar>
              <w:top w:w="55" w:type="dxa"/>
              <w:left w:w="55" w:type="dxa"/>
              <w:bottom w:w="55" w:type="dxa"/>
              <w:right w:w="55" w:type="dxa"/>
            </w:tcMar>
          </w:tcPr>
          <w:p w14:paraId="7F026F7F" w14:textId="011686FC" w:rsidR="009245D8" w:rsidRDefault="00214AEA">
            <w:pPr>
              <w:spacing w:after="30" w:line="228" w:lineRule="auto"/>
            </w:pPr>
            <w:r>
              <w:t>Increases healthcare costs</w:t>
            </w:r>
          </w:p>
        </w:tc>
        <w:tc>
          <w:tcPr>
            <w:tcW w:w="2376" w:type="dxa"/>
            <w:shd w:val="clear" w:color="auto" w:fill="F7F7F7"/>
            <w:tcMar>
              <w:top w:w="55" w:type="dxa"/>
              <w:left w:w="55" w:type="dxa"/>
              <w:bottom w:w="55" w:type="dxa"/>
              <w:right w:w="55" w:type="dxa"/>
            </w:tcMar>
          </w:tcPr>
          <w:p w14:paraId="3E9064D8" w14:textId="23DC71EF" w:rsidR="00214AEA" w:rsidRDefault="00841A6F">
            <w:pPr>
              <w:spacing w:after="30" w:line="228" w:lineRule="auto"/>
            </w:pPr>
            <w:r>
              <w:t xml:space="preserve">Increase market power </w:t>
            </w:r>
          </w:p>
          <w:p w14:paraId="1B7C5AF8" w14:textId="325ACF29" w:rsidR="009245D8" w:rsidRDefault="009245D8">
            <w:pPr>
              <w:spacing w:after="30" w:line="228" w:lineRule="auto"/>
            </w:pPr>
          </w:p>
        </w:tc>
        <w:tc>
          <w:tcPr>
            <w:tcW w:w="2520" w:type="dxa"/>
            <w:shd w:val="clear" w:color="auto" w:fill="F7F7F7"/>
            <w:tcMar>
              <w:top w:w="55" w:type="dxa"/>
              <w:left w:w="55" w:type="dxa"/>
              <w:bottom w:w="55" w:type="dxa"/>
              <w:right w:w="55" w:type="dxa"/>
            </w:tcMar>
          </w:tcPr>
          <w:p w14:paraId="32C85DE3" w14:textId="77777777" w:rsidR="009245D8" w:rsidRDefault="00214AEA">
            <w:pPr>
              <w:spacing w:after="30" w:line="228" w:lineRule="auto"/>
            </w:pPr>
            <w:r>
              <w:t xml:space="preserve">Referral redirection </w:t>
            </w:r>
          </w:p>
          <w:p w14:paraId="0CBA8AED" w14:textId="489A05EE" w:rsidR="00214AEA" w:rsidRDefault="00214AEA">
            <w:pPr>
              <w:spacing w:after="30" w:line="228" w:lineRule="auto"/>
            </w:pPr>
            <w:r>
              <w:t xml:space="preserve">Decreased quality of patient care </w:t>
            </w:r>
          </w:p>
        </w:tc>
        <w:tc>
          <w:tcPr>
            <w:tcW w:w="2952" w:type="dxa"/>
            <w:shd w:val="clear" w:color="auto" w:fill="F7F7F7"/>
            <w:tcMar>
              <w:top w:w="55" w:type="dxa"/>
              <w:left w:w="55" w:type="dxa"/>
              <w:bottom w:w="55" w:type="dxa"/>
              <w:right w:w="55" w:type="dxa"/>
            </w:tcMar>
          </w:tcPr>
          <w:p w14:paraId="6B706DBA" w14:textId="742FE1BF" w:rsidR="009245D8" w:rsidRDefault="00214AEA">
            <w:pPr>
              <w:spacing w:after="30" w:line="228" w:lineRule="auto"/>
            </w:pPr>
            <w:r>
              <w:t xml:space="preserve">This article explicitly links poorer patient quality of care with integration </w:t>
            </w:r>
          </w:p>
        </w:tc>
      </w:tr>
      <w:tr w:rsidR="009245D8" w14:paraId="6AA7FD6A" w14:textId="77777777">
        <w:trPr>
          <w:trHeight w:val="520"/>
          <w:jc w:val="center"/>
        </w:trPr>
        <w:tc>
          <w:tcPr>
            <w:tcW w:w="2088" w:type="dxa"/>
            <w:shd w:val="clear" w:color="auto" w:fill="F7F7F7"/>
            <w:tcMar>
              <w:top w:w="55" w:type="dxa"/>
              <w:left w:w="55" w:type="dxa"/>
              <w:bottom w:w="55" w:type="dxa"/>
              <w:right w:w="55" w:type="dxa"/>
            </w:tcMar>
          </w:tcPr>
          <w:p w14:paraId="74409751" w14:textId="732364CE" w:rsidR="009245D8" w:rsidRDefault="00370AC4">
            <w:pPr>
              <w:spacing w:after="30" w:line="228" w:lineRule="auto"/>
              <w:rPr>
                <w:b/>
                <w:sz w:val="14"/>
              </w:rPr>
            </w:pPr>
            <w:r>
              <w:rPr>
                <w:b/>
                <w:sz w:val="14"/>
              </w:rPr>
              <w:t xml:space="preserve">5. </w:t>
            </w:r>
            <w:r w:rsidR="00A96F71">
              <w:rPr>
                <w:b/>
                <w:sz w:val="14"/>
              </w:rPr>
              <w:t xml:space="preserve">PRO vs CONS of PRIVATE PRACTICE OVER EMPLOYMENT </w:t>
            </w:r>
          </w:p>
          <w:p w14:paraId="36D6ACF5" w14:textId="793EDCDE" w:rsidR="00A96F71" w:rsidRDefault="00A96F71">
            <w:pPr>
              <w:spacing w:after="30" w:line="228" w:lineRule="auto"/>
            </w:pPr>
          </w:p>
        </w:tc>
        <w:tc>
          <w:tcPr>
            <w:tcW w:w="3672" w:type="dxa"/>
            <w:shd w:val="clear" w:color="auto" w:fill="F7F7F7"/>
            <w:tcMar>
              <w:top w:w="55" w:type="dxa"/>
              <w:left w:w="55" w:type="dxa"/>
              <w:bottom w:w="55" w:type="dxa"/>
              <w:right w:w="55" w:type="dxa"/>
            </w:tcMar>
          </w:tcPr>
          <w:p w14:paraId="64B5F9E2" w14:textId="0E75E7FE" w:rsidR="009245D8" w:rsidRDefault="00A96F71">
            <w:pPr>
              <w:spacing w:after="30" w:line="228" w:lineRule="auto"/>
            </w:pPr>
            <w:r>
              <w:t xml:space="preserve">Private Practice or employment 21 </w:t>
            </w:r>
            <w:r w:rsidR="007E45FE">
              <w:t>experts’</w:t>
            </w:r>
            <w:r>
              <w:t xml:space="preserve"> weight in </w:t>
            </w:r>
          </w:p>
        </w:tc>
        <w:tc>
          <w:tcPr>
            <w:tcW w:w="2088" w:type="dxa"/>
            <w:shd w:val="clear" w:color="auto" w:fill="F7F7F7"/>
            <w:tcMar>
              <w:top w:w="55" w:type="dxa"/>
              <w:left w:w="55" w:type="dxa"/>
              <w:bottom w:w="55" w:type="dxa"/>
              <w:right w:w="55" w:type="dxa"/>
            </w:tcMar>
          </w:tcPr>
          <w:p w14:paraId="13B2AB9F" w14:textId="77777777" w:rsidR="009245D8" w:rsidRDefault="00A96F71">
            <w:pPr>
              <w:spacing w:after="30" w:line="228" w:lineRule="auto"/>
            </w:pPr>
            <w:r>
              <w:t xml:space="preserve">Integration </w:t>
            </w:r>
          </w:p>
          <w:p w14:paraId="34404CDC" w14:textId="061B905A" w:rsidR="00A96F71" w:rsidRDefault="00A96F71">
            <w:pPr>
              <w:spacing w:after="30" w:line="228" w:lineRule="auto"/>
            </w:pPr>
            <w:r>
              <w:t xml:space="preserve">Productive Efficiency </w:t>
            </w:r>
          </w:p>
        </w:tc>
        <w:tc>
          <w:tcPr>
            <w:tcW w:w="3096" w:type="dxa"/>
            <w:shd w:val="clear" w:color="auto" w:fill="F7F7F7"/>
            <w:tcMar>
              <w:top w:w="55" w:type="dxa"/>
              <w:left w:w="55" w:type="dxa"/>
              <w:bottom w:w="55" w:type="dxa"/>
              <w:right w:w="55" w:type="dxa"/>
            </w:tcMar>
          </w:tcPr>
          <w:p w14:paraId="21D17422" w14:textId="46D77455" w:rsidR="009245D8" w:rsidRDefault="00A96F71">
            <w:pPr>
              <w:spacing w:after="30" w:line="228" w:lineRule="auto"/>
            </w:pPr>
            <w:r>
              <w:t xml:space="preserve">Becker ASC Review Interviewed </w:t>
            </w:r>
            <w:r w:rsidR="007E45FE">
              <w:t>21 ASC</w:t>
            </w:r>
            <w:r>
              <w:t xml:space="preserve"> experts over the pros and cons of private practice over </w:t>
            </w:r>
            <w:r w:rsidR="007E45FE">
              <w:t>employment</w:t>
            </w:r>
            <w:r>
              <w:t xml:space="preserve"> </w:t>
            </w:r>
          </w:p>
        </w:tc>
        <w:tc>
          <w:tcPr>
            <w:tcW w:w="1512" w:type="dxa"/>
            <w:shd w:val="clear" w:color="auto" w:fill="F7F7F7"/>
            <w:tcMar>
              <w:top w:w="55" w:type="dxa"/>
              <w:left w:w="55" w:type="dxa"/>
              <w:bottom w:w="55" w:type="dxa"/>
              <w:right w:w="55" w:type="dxa"/>
            </w:tcMar>
          </w:tcPr>
          <w:p w14:paraId="7B60F884" w14:textId="77777777" w:rsidR="009245D8" w:rsidRDefault="009245D8">
            <w:pPr>
              <w:spacing w:after="30" w:line="228" w:lineRule="auto"/>
            </w:pPr>
          </w:p>
        </w:tc>
        <w:tc>
          <w:tcPr>
            <w:tcW w:w="1512" w:type="dxa"/>
            <w:shd w:val="clear" w:color="auto" w:fill="F7F7F7"/>
            <w:tcMar>
              <w:top w:w="55" w:type="dxa"/>
              <w:left w:w="55" w:type="dxa"/>
              <w:bottom w:w="55" w:type="dxa"/>
              <w:right w:w="55" w:type="dxa"/>
            </w:tcMar>
          </w:tcPr>
          <w:p w14:paraId="522ADAAF" w14:textId="77777777" w:rsidR="009245D8" w:rsidRDefault="009245D8">
            <w:pPr>
              <w:spacing w:after="30" w:line="228" w:lineRule="auto"/>
            </w:pPr>
          </w:p>
        </w:tc>
        <w:tc>
          <w:tcPr>
            <w:tcW w:w="2376" w:type="dxa"/>
            <w:shd w:val="clear" w:color="auto" w:fill="F7F7F7"/>
            <w:tcMar>
              <w:top w:w="55" w:type="dxa"/>
              <w:left w:w="55" w:type="dxa"/>
              <w:bottom w:w="55" w:type="dxa"/>
              <w:right w:w="55" w:type="dxa"/>
            </w:tcMar>
          </w:tcPr>
          <w:p w14:paraId="511459A5" w14:textId="77777777" w:rsidR="009245D8" w:rsidRDefault="009245D8">
            <w:pPr>
              <w:spacing w:after="30" w:line="228" w:lineRule="auto"/>
            </w:pPr>
          </w:p>
        </w:tc>
        <w:tc>
          <w:tcPr>
            <w:tcW w:w="2520" w:type="dxa"/>
            <w:shd w:val="clear" w:color="auto" w:fill="F7F7F7"/>
            <w:tcMar>
              <w:top w:w="55" w:type="dxa"/>
              <w:left w:w="55" w:type="dxa"/>
              <w:bottom w:w="55" w:type="dxa"/>
              <w:right w:w="55" w:type="dxa"/>
            </w:tcMar>
          </w:tcPr>
          <w:p w14:paraId="14BFE244" w14:textId="77777777" w:rsidR="009245D8" w:rsidRDefault="009245D8">
            <w:pPr>
              <w:spacing w:after="30" w:line="228" w:lineRule="auto"/>
            </w:pPr>
          </w:p>
        </w:tc>
        <w:tc>
          <w:tcPr>
            <w:tcW w:w="2952" w:type="dxa"/>
            <w:shd w:val="clear" w:color="auto" w:fill="F7F7F7"/>
            <w:tcMar>
              <w:top w:w="55" w:type="dxa"/>
              <w:left w:w="55" w:type="dxa"/>
              <w:bottom w:w="55" w:type="dxa"/>
              <w:right w:w="55" w:type="dxa"/>
            </w:tcMar>
          </w:tcPr>
          <w:p w14:paraId="20C4B421" w14:textId="7298D088" w:rsidR="009245D8" w:rsidRDefault="00A96F71">
            <w:pPr>
              <w:spacing w:after="30" w:line="228" w:lineRule="auto"/>
            </w:pPr>
            <w:r>
              <w:t xml:space="preserve">Interviewed 21 physicians from diverse </w:t>
            </w:r>
            <w:r w:rsidR="009125B3">
              <w:t>specialties(medical</w:t>
            </w:r>
            <w:r>
              <w:t xml:space="preserve"> and surgical). </w:t>
            </w:r>
          </w:p>
          <w:p w14:paraId="66A90868" w14:textId="77777777" w:rsidR="00A96F71" w:rsidRDefault="00A96F71">
            <w:pPr>
              <w:spacing w:after="30" w:line="228" w:lineRule="auto"/>
            </w:pPr>
            <w:r>
              <w:t xml:space="preserve">Pro for employment: </w:t>
            </w:r>
          </w:p>
          <w:p w14:paraId="2D6CACC9" w14:textId="4EC334F9" w:rsidR="00A96F71" w:rsidRDefault="00A96F71">
            <w:pPr>
              <w:spacing w:after="30" w:line="228" w:lineRule="auto"/>
            </w:pPr>
            <w:r>
              <w:t>Residents often offered larger salary,</w:t>
            </w:r>
            <w:r w:rsidR="001C00C1">
              <w:t xml:space="preserve"> relocation assistance, signing bonuses</w:t>
            </w:r>
            <w:r>
              <w:t xml:space="preserve"> important when they will have to </w:t>
            </w:r>
            <w:r w:rsidR="007E45FE">
              <w:t>repay</w:t>
            </w:r>
            <w:r>
              <w:t xml:space="preserve"> large student loans. </w:t>
            </w:r>
          </w:p>
          <w:p w14:paraId="5F3441DD" w14:textId="77777777" w:rsidR="00A96F71" w:rsidRDefault="00A96F71">
            <w:pPr>
              <w:spacing w:after="30" w:line="228" w:lineRule="auto"/>
            </w:pPr>
            <w:r>
              <w:t xml:space="preserve">Administrative burden such as staffing, compliance is centralized. </w:t>
            </w:r>
          </w:p>
          <w:p w14:paraId="2FB468A0" w14:textId="1A026932" w:rsidR="00A96F71" w:rsidRDefault="00A96F71">
            <w:pPr>
              <w:spacing w:after="30" w:line="228" w:lineRule="auto"/>
            </w:pPr>
            <w:r>
              <w:t xml:space="preserve">Contractual negotiation support with vendor s and insurance </w:t>
            </w:r>
          </w:p>
          <w:p w14:paraId="7C78143F" w14:textId="52CF0D84" w:rsidR="00A96F71" w:rsidRDefault="00A96F71">
            <w:pPr>
              <w:spacing w:after="30" w:line="228" w:lineRule="auto"/>
            </w:pPr>
            <w:r>
              <w:t xml:space="preserve">Equipment and capital costs covered </w:t>
            </w:r>
          </w:p>
          <w:p w14:paraId="2325517D" w14:textId="318B3062" w:rsidR="001C00C1" w:rsidRDefault="001C00C1">
            <w:pPr>
              <w:spacing w:after="30" w:line="228" w:lineRule="auto"/>
            </w:pPr>
            <w:r>
              <w:t xml:space="preserve">Access to resources and </w:t>
            </w:r>
            <w:r w:rsidR="007E45FE">
              <w:t>technology</w:t>
            </w:r>
          </w:p>
          <w:p w14:paraId="623C8730" w14:textId="645CA0C2" w:rsidR="001C00C1" w:rsidRDefault="001C00C1">
            <w:pPr>
              <w:spacing w:after="30" w:line="228" w:lineRule="auto"/>
            </w:pPr>
            <w:r>
              <w:t xml:space="preserve">Established infrastructure for research, education and CME </w:t>
            </w:r>
          </w:p>
          <w:p w14:paraId="43321A35" w14:textId="305C6CD5" w:rsidR="001C00C1" w:rsidRDefault="001C00C1">
            <w:pPr>
              <w:spacing w:after="30" w:line="228" w:lineRule="auto"/>
            </w:pPr>
            <w:r>
              <w:t>Malpractice/li</w:t>
            </w:r>
            <w:r w:rsidR="007E45FE">
              <w:t>ability</w:t>
            </w:r>
            <w:r>
              <w:t xml:space="preserve"> protection. </w:t>
            </w:r>
          </w:p>
          <w:p w14:paraId="0E185BCB" w14:textId="14F4E6A2" w:rsidR="001C00C1" w:rsidRDefault="001C00C1">
            <w:pPr>
              <w:spacing w:after="30" w:line="228" w:lineRule="auto"/>
            </w:pPr>
            <w:r>
              <w:t xml:space="preserve">Leadership opportunities </w:t>
            </w:r>
          </w:p>
          <w:p w14:paraId="216A94DC" w14:textId="77777777" w:rsidR="00A96F71" w:rsidRDefault="00A96F71">
            <w:pPr>
              <w:spacing w:after="30" w:line="228" w:lineRule="auto"/>
            </w:pPr>
          </w:p>
          <w:p w14:paraId="6E1CD4F1" w14:textId="77777777" w:rsidR="00A96F71" w:rsidRDefault="00A96F71">
            <w:pPr>
              <w:spacing w:after="30" w:line="228" w:lineRule="auto"/>
            </w:pPr>
            <w:r>
              <w:t xml:space="preserve">Con: </w:t>
            </w:r>
          </w:p>
          <w:p w14:paraId="63777F82" w14:textId="14254E57" w:rsidR="00A96F71" w:rsidRDefault="00A96F71">
            <w:pPr>
              <w:spacing w:after="30" w:line="228" w:lineRule="auto"/>
            </w:pPr>
            <w:r>
              <w:t>Loss of Autonomy</w:t>
            </w:r>
            <w:r w:rsidR="001C00C1">
              <w:t xml:space="preserve"> in decision making including patient care protocols, </w:t>
            </w:r>
          </w:p>
          <w:p w14:paraId="54D06D5C" w14:textId="1A366F09" w:rsidR="00A96F71" w:rsidRDefault="001C00C1">
            <w:pPr>
              <w:spacing w:after="30" w:line="228" w:lineRule="auto"/>
            </w:pPr>
            <w:r>
              <w:t xml:space="preserve">Loss of </w:t>
            </w:r>
            <w:r w:rsidR="007E45FE">
              <w:t>competition (referrals</w:t>
            </w:r>
            <w:r>
              <w:t xml:space="preserve"> limited if out of network). </w:t>
            </w:r>
          </w:p>
          <w:p w14:paraId="2057FD95" w14:textId="7BB0BC13" w:rsidR="001C00C1" w:rsidRDefault="001C00C1">
            <w:pPr>
              <w:spacing w:after="30" w:line="228" w:lineRule="auto"/>
            </w:pPr>
            <w:r>
              <w:t xml:space="preserve">Limited earning potential as compared to successful private practice. </w:t>
            </w:r>
          </w:p>
        </w:tc>
      </w:tr>
      <w:tr w:rsidR="009245D8" w14:paraId="5D3C8F76" w14:textId="77777777">
        <w:trPr>
          <w:trHeight w:val="520"/>
          <w:jc w:val="center"/>
        </w:trPr>
        <w:tc>
          <w:tcPr>
            <w:tcW w:w="2088" w:type="dxa"/>
            <w:shd w:val="clear" w:color="auto" w:fill="F7F7F7"/>
            <w:tcMar>
              <w:top w:w="55" w:type="dxa"/>
              <w:left w:w="55" w:type="dxa"/>
              <w:bottom w:w="55" w:type="dxa"/>
              <w:right w:w="55" w:type="dxa"/>
            </w:tcMar>
          </w:tcPr>
          <w:p w14:paraId="49B1C5DE" w14:textId="77777777" w:rsidR="009245D8" w:rsidRDefault="00370AC4">
            <w:pPr>
              <w:spacing w:after="30" w:line="228" w:lineRule="auto"/>
            </w:pPr>
            <w:r>
              <w:rPr>
                <w:b/>
                <w:sz w:val="14"/>
              </w:rPr>
              <w:t>5. Additional source</w:t>
            </w:r>
          </w:p>
        </w:tc>
        <w:tc>
          <w:tcPr>
            <w:tcW w:w="3672" w:type="dxa"/>
            <w:shd w:val="clear" w:color="auto" w:fill="F7F7F7"/>
            <w:tcMar>
              <w:top w:w="55" w:type="dxa"/>
              <w:left w:w="55" w:type="dxa"/>
              <w:bottom w:w="55" w:type="dxa"/>
              <w:right w:w="55" w:type="dxa"/>
            </w:tcMar>
          </w:tcPr>
          <w:p w14:paraId="4400A0E0" w14:textId="77777777" w:rsidR="009245D8" w:rsidRDefault="009245D8">
            <w:pPr>
              <w:spacing w:after="30" w:line="228" w:lineRule="auto"/>
            </w:pPr>
          </w:p>
        </w:tc>
        <w:tc>
          <w:tcPr>
            <w:tcW w:w="2088" w:type="dxa"/>
            <w:shd w:val="clear" w:color="auto" w:fill="F7F7F7"/>
            <w:tcMar>
              <w:top w:w="55" w:type="dxa"/>
              <w:left w:w="55" w:type="dxa"/>
              <w:bottom w:w="55" w:type="dxa"/>
              <w:right w:w="55" w:type="dxa"/>
            </w:tcMar>
          </w:tcPr>
          <w:p w14:paraId="6728994C" w14:textId="77777777" w:rsidR="009245D8" w:rsidRDefault="009245D8">
            <w:pPr>
              <w:spacing w:after="30" w:line="228" w:lineRule="auto"/>
            </w:pPr>
          </w:p>
        </w:tc>
        <w:tc>
          <w:tcPr>
            <w:tcW w:w="3096" w:type="dxa"/>
            <w:shd w:val="clear" w:color="auto" w:fill="F7F7F7"/>
            <w:tcMar>
              <w:top w:w="55" w:type="dxa"/>
              <w:left w:w="55" w:type="dxa"/>
              <w:bottom w:w="55" w:type="dxa"/>
              <w:right w:w="55" w:type="dxa"/>
            </w:tcMar>
          </w:tcPr>
          <w:p w14:paraId="1B8DF657" w14:textId="77777777" w:rsidR="009245D8" w:rsidRDefault="009245D8">
            <w:pPr>
              <w:spacing w:after="30" w:line="228" w:lineRule="auto"/>
            </w:pPr>
          </w:p>
        </w:tc>
        <w:tc>
          <w:tcPr>
            <w:tcW w:w="1512" w:type="dxa"/>
            <w:shd w:val="clear" w:color="auto" w:fill="F7F7F7"/>
            <w:tcMar>
              <w:top w:w="55" w:type="dxa"/>
              <w:left w:w="55" w:type="dxa"/>
              <w:bottom w:w="55" w:type="dxa"/>
              <w:right w:w="55" w:type="dxa"/>
            </w:tcMar>
          </w:tcPr>
          <w:p w14:paraId="30303981" w14:textId="77777777" w:rsidR="009245D8" w:rsidRDefault="009245D8">
            <w:pPr>
              <w:spacing w:after="30" w:line="228" w:lineRule="auto"/>
            </w:pPr>
          </w:p>
        </w:tc>
        <w:tc>
          <w:tcPr>
            <w:tcW w:w="1512" w:type="dxa"/>
            <w:shd w:val="clear" w:color="auto" w:fill="F7F7F7"/>
            <w:tcMar>
              <w:top w:w="55" w:type="dxa"/>
              <w:left w:w="55" w:type="dxa"/>
              <w:bottom w:w="55" w:type="dxa"/>
              <w:right w:w="55" w:type="dxa"/>
            </w:tcMar>
          </w:tcPr>
          <w:p w14:paraId="451AD1CB" w14:textId="77777777" w:rsidR="009245D8" w:rsidRDefault="009245D8">
            <w:pPr>
              <w:spacing w:after="30" w:line="228" w:lineRule="auto"/>
            </w:pPr>
          </w:p>
        </w:tc>
        <w:tc>
          <w:tcPr>
            <w:tcW w:w="2376" w:type="dxa"/>
            <w:shd w:val="clear" w:color="auto" w:fill="F7F7F7"/>
            <w:tcMar>
              <w:top w:w="55" w:type="dxa"/>
              <w:left w:w="55" w:type="dxa"/>
              <w:bottom w:w="55" w:type="dxa"/>
              <w:right w:w="55" w:type="dxa"/>
            </w:tcMar>
          </w:tcPr>
          <w:p w14:paraId="30EF40F9" w14:textId="77777777" w:rsidR="009245D8" w:rsidRDefault="009245D8">
            <w:pPr>
              <w:spacing w:after="30" w:line="228" w:lineRule="auto"/>
            </w:pPr>
          </w:p>
        </w:tc>
        <w:tc>
          <w:tcPr>
            <w:tcW w:w="2520" w:type="dxa"/>
            <w:shd w:val="clear" w:color="auto" w:fill="F7F7F7"/>
            <w:tcMar>
              <w:top w:w="55" w:type="dxa"/>
              <w:left w:w="55" w:type="dxa"/>
              <w:bottom w:w="55" w:type="dxa"/>
              <w:right w:w="55" w:type="dxa"/>
            </w:tcMar>
          </w:tcPr>
          <w:p w14:paraId="659C5D55" w14:textId="77777777" w:rsidR="009245D8" w:rsidRDefault="009245D8">
            <w:pPr>
              <w:spacing w:after="30" w:line="228" w:lineRule="auto"/>
            </w:pPr>
          </w:p>
        </w:tc>
        <w:tc>
          <w:tcPr>
            <w:tcW w:w="2952" w:type="dxa"/>
            <w:shd w:val="clear" w:color="auto" w:fill="F7F7F7"/>
            <w:tcMar>
              <w:top w:w="55" w:type="dxa"/>
              <w:left w:w="55" w:type="dxa"/>
              <w:bottom w:w="55" w:type="dxa"/>
              <w:right w:w="55" w:type="dxa"/>
            </w:tcMar>
          </w:tcPr>
          <w:p w14:paraId="3AB56DA8" w14:textId="77777777" w:rsidR="009245D8" w:rsidRDefault="009245D8">
            <w:pPr>
              <w:spacing w:after="30" w:line="228" w:lineRule="auto"/>
            </w:pPr>
          </w:p>
        </w:tc>
      </w:tr>
    </w:tbl>
    <w:p w14:paraId="703C1910" w14:textId="57694C37" w:rsidR="009F1B39" w:rsidRDefault="009F1B39" w:rsidP="00BD1A68">
      <w:pPr>
        <w:rPr>
          <w:b/>
          <w:sz w:val="17"/>
        </w:rPr>
      </w:pPr>
      <w:r>
        <w:rPr>
          <w:b/>
          <w:sz w:val="17"/>
        </w:rPr>
        <w:t xml:space="preserve">For my paper: </w:t>
      </w:r>
    </w:p>
    <w:p w14:paraId="5CCA417F" w14:textId="77777777" w:rsidR="009F1B39" w:rsidRDefault="009F1B39" w:rsidP="00BD1A68">
      <w:pPr>
        <w:rPr>
          <w:b/>
          <w:sz w:val="17"/>
        </w:rPr>
      </w:pPr>
    </w:p>
    <w:p w14:paraId="6C6D4741" w14:textId="4C9A76BE" w:rsidR="00BD1A68" w:rsidRDefault="00BD1A68" w:rsidP="00BD1A68">
      <w:r>
        <w:rPr>
          <w:b/>
          <w:sz w:val="17"/>
        </w:rPr>
        <w:t>Research question: How has the shift from physician-owned private practice toward employment by larger healthcare organizations affected competition and healthcare prices in the United States? Do efficiencies associated with physician integration offset the effects of increased provider market power?</w:t>
      </w:r>
    </w:p>
    <w:p w14:paraId="3C16E1A0" w14:textId="1DDE18E2" w:rsidR="00BD1A68" w:rsidRPr="00BD1A68" w:rsidRDefault="00BD1A68" w:rsidP="00BD1A68">
      <w:r w:rsidRPr="00BD1A68">
        <w:rPr>
          <w:rFonts w:eastAsia="Times New Roman" w:cs="Arial"/>
          <w:b/>
          <w:bCs/>
          <w:sz w:val="16"/>
          <w:szCs w:val="16"/>
        </w:rPr>
        <w:t>Observed structural change (AMA)</w:t>
      </w:r>
      <w:r w:rsidRPr="00BD1A68">
        <w:rPr>
          <w:rFonts w:eastAsia="Times New Roman" w:cs="Arial"/>
          <w:sz w:val="16"/>
          <w:szCs w:val="16"/>
        </w:rPr>
        <w:br/>
        <w:t>Private ownership ↓ / hospital ownership &amp; employment ↑</w:t>
      </w:r>
    </w:p>
    <w:p w14:paraId="54DA807B" w14:textId="77777777" w:rsidR="00BD1A68" w:rsidRPr="00BD1A68" w:rsidRDefault="00BD1A68" w:rsidP="00BD1A68">
      <w:pPr>
        <w:spacing w:before="100" w:beforeAutospacing="1" w:after="100" w:afterAutospacing="1" w:line="240" w:lineRule="auto"/>
        <w:rPr>
          <w:rFonts w:eastAsia="Times New Roman" w:cs="Arial"/>
          <w:sz w:val="16"/>
          <w:szCs w:val="16"/>
        </w:rPr>
      </w:pPr>
      <w:r w:rsidRPr="00BD1A68">
        <w:rPr>
          <w:rFonts w:eastAsia="Times New Roman" w:cs="Arial"/>
          <w:sz w:val="16"/>
          <w:szCs w:val="16"/>
        </w:rPr>
        <w:t>↓</w:t>
      </w:r>
    </w:p>
    <w:p w14:paraId="5D7FC1DA" w14:textId="77777777" w:rsidR="00BD1A68" w:rsidRPr="00BD1A68" w:rsidRDefault="00BD1A68" w:rsidP="00BD1A68">
      <w:pPr>
        <w:spacing w:before="100" w:beforeAutospacing="1" w:after="100" w:afterAutospacing="1" w:line="240" w:lineRule="auto"/>
        <w:rPr>
          <w:rFonts w:eastAsia="Times New Roman" w:cs="Arial"/>
          <w:sz w:val="16"/>
          <w:szCs w:val="16"/>
        </w:rPr>
      </w:pPr>
      <w:r w:rsidRPr="00BD1A68">
        <w:rPr>
          <w:rFonts w:eastAsia="Times New Roman" w:cs="Arial"/>
          <w:b/>
          <w:bCs/>
          <w:sz w:val="16"/>
          <w:szCs w:val="16"/>
        </w:rPr>
        <w:t>Why physicians/practices integrate (AMA + Aabedi + Gaynor/Haas-Wilson)</w:t>
      </w:r>
      <w:r w:rsidRPr="00BD1A68">
        <w:rPr>
          <w:rFonts w:eastAsia="Times New Roman" w:cs="Arial"/>
          <w:sz w:val="16"/>
          <w:szCs w:val="16"/>
        </w:rPr>
        <w:br/>
        <w:t>Costly resources + administrative burden + risk-based payment + transaction costs + scale efficiencies</w:t>
      </w:r>
      <w:r w:rsidRPr="00BD1A68">
        <w:rPr>
          <w:rFonts w:eastAsia="Times New Roman" w:cs="Arial"/>
          <w:sz w:val="16"/>
          <w:szCs w:val="16"/>
        </w:rPr>
        <w:br/>
      </w:r>
      <w:r w:rsidRPr="00BD1A68">
        <w:rPr>
          <w:rFonts w:eastAsia="Times New Roman" w:cs="Arial"/>
          <w:b/>
          <w:bCs/>
          <w:sz w:val="16"/>
          <w:szCs w:val="16"/>
        </w:rPr>
        <w:t>AND</w:t>
      </w:r>
      <w:r w:rsidRPr="00BD1A68">
        <w:rPr>
          <w:rFonts w:eastAsia="Times New Roman" w:cs="Arial"/>
          <w:sz w:val="16"/>
          <w:szCs w:val="16"/>
        </w:rPr>
        <w:t xml:space="preserve"> desire for greater payer bargaining power</w:t>
      </w:r>
    </w:p>
    <w:p w14:paraId="093CB9DD" w14:textId="77777777" w:rsidR="00BD1A68" w:rsidRPr="00BD1A68" w:rsidRDefault="00BD1A68" w:rsidP="00BD1A68">
      <w:pPr>
        <w:spacing w:before="100" w:beforeAutospacing="1" w:after="100" w:afterAutospacing="1" w:line="240" w:lineRule="auto"/>
        <w:rPr>
          <w:rFonts w:eastAsia="Times New Roman" w:cs="Arial"/>
          <w:sz w:val="16"/>
          <w:szCs w:val="16"/>
        </w:rPr>
      </w:pPr>
      <w:r w:rsidRPr="00BD1A68">
        <w:rPr>
          <w:rFonts w:eastAsia="Times New Roman" w:cs="Arial"/>
          <w:sz w:val="16"/>
          <w:szCs w:val="16"/>
        </w:rPr>
        <w:t>↓</w:t>
      </w:r>
    </w:p>
    <w:p w14:paraId="79B31BD0" w14:textId="77777777" w:rsidR="00BD1A68" w:rsidRPr="00BD1A68" w:rsidRDefault="00BD1A68" w:rsidP="00BD1A68">
      <w:pPr>
        <w:spacing w:before="100" w:beforeAutospacing="1" w:after="100" w:afterAutospacing="1" w:line="240" w:lineRule="auto"/>
        <w:rPr>
          <w:rFonts w:eastAsia="Times New Roman" w:cs="Arial"/>
          <w:sz w:val="16"/>
          <w:szCs w:val="16"/>
        </w:rPr>
      </w:pPr>
      <w:r w:rsidRPr="00BD1A68">
        <w:rPr>
          <w:rFonts w:eastAsia="Times New Roman" w:cs="Arial"/>
          <w:b/>
          <w:bCs/>
          <w:sz w:val="16"/>
          <w:szCs w:val="16"/>
        </w:rPr>
        <w:t>What integration changes (Whaley/Zhao)</w:t>
      </w:r>
      <w:r w:rsidRPr="00BD1A68">
        <w:rPr>
          <w:rFonts w:eastAsia="Times New Roman" w:cs="Arial"/>
          <w:sz w:val="16"/>
          <w:szCs w:val="16"/>
        </w:rPr>
        <w:br/>
        <w:t>Referral incentives/site of care → more hospital-based utilization</w:t>
      </w:r>
    </w:p>
    <w:p w14:paraId="673EF42B" w14:textId="77777777" w:rsidR="00BD1A68" w:rsidRPr="00BD1A68" w:rsidRDefault="00BD1A68" w:rsidP="00BD1A68">
      <w:pPr>
        <w:spacing w:before="100" w:beforeAutospacing="1" w:after="100" w:afterAutospacing="1" w:line="240" w:lineRule="auto"/>
        <w:rPr>
          <w:rFonts w:eastAsia="Times New Roman" w:cs="Arial"/>
          <w:sz w:val="16"/>
          <w:szCs w:val="16"/>
        </w:rPr>
      </w:pPr>
      <w:r w:rsidRPr="00BD1A68">
        <w:rPr>
          <w:rFonts w:eastAsia="Times New Roman" w:cs="Arial"/>
          <w:sz w:val="16"/>
          <w:szCs w:val="16"/>
        </w:rPr>
        <w:t>↓</w:t>
      </w:r>
    </w:p>
    <w:p w14:paraId="752A0E54" w14:textId="77777777" w:rsidR="00BD1A68" w:rsidRPr="00BD1A68" w:rsidRDefault="00BD1A68" w:rsidP="00BD1A68">
      <w:pPr>
        <w:spacing w:before="100" w:beforeAutospacing="1" w:after="100" w:afterAutospacing="1" w:line="240" w:lineRule="auto"/>
        <w:rPr>
          <w:rFonts w:eastAsia="Times New Roman" w:cs="Arial"/>
          <w:sz w:val="16"/>
          <w:szCs w:val="16"/>
        </w:rPr>
      </w:pPr>
      <w:r w:rsidRPr="00BD1A68">
        <w:rPr>
          <w:rFonts w:eastAsia="Times New Roman" w:cs="Arial"/>
          <w:b/>
          <w:bCs/>
          <w:sz w:val="16"/>
          <w:szCs w:val="16"/>
        </w:rPr>
        <w:t>Market mechanism (Gaynor/Haas-Wilson + Cooper/NBER)</w:t>
      </w:r>
      <w:r w:rsidRPr="00BD1A68">
        <w:rPr>
          <w:rFonts w:eastAsia="Times New Roman" w:cs="Arial"/>
          <w:sz w:val="16"/>
          <w:szCs w:val="16"/>
        </w:rPr>
        <w:br/>
        <w:t>Concentration + referral control + bargaining leverage → increased provider market power</w:t>
      </w:r>
    </w:p>
    <w:p w14:paraId="69749E41" w14:textId="77777777" w:rsidR="00BD1A68" w:rsidRPr="00BD1A68" w:rsidRDefault="00BD1A68" w:rsidP="00BD1A68">
      <w:pPr>
        <w:spacing w:before="100" w:beforeAutospacing="1" w:after="100" w:afterAutospacing="1" w:line="240" w:lineRule="auto"/>
        <w:rPr>
          <w:rFonts w:eastAsia="Times New Roman" w:cs="Arial"/>
          <w:sz w:val="16"/>
          <w:szCs w:val="16"/>
        </w:rPr>
      </w:pPr>
      <w:r w:rsidRPr="00BD1A68">
        <w:rPr>
          <w:rFonts w:eastAsia="Times New Roman" w:cs="Arial"/>
          <w:sz w:val="16"/>
          <w:szCs w:val="16"/>
        </w:rPr>
        <w:t>↓</w:t>
      </w:r>
    </w:p>
    <w:p w14:paraId="39E8197A" w14:textId="77777777" w:rsidR="00BD1A68" w:rsidRPr="00BD1A68" w:rsidRDefault="00BD1A68" w:rsidP="00BD1A68">
      <w:pPr>
        <w:spacing w:before="100" w:beforeAutospacing="1" w:after="100" w:afterAutospacing="1" w:line="240" w:lineRule="auto"/>
        <w:rPr>
          <w:rFonts w:eastAsia="Times New Roman" w:cs="Arial"/>
          <w:sz w:val="16"/>
          <w:szCs w:val="16"/>
        </w:rPr>
      </w:pPr>
      <w:r w:rsidRPr="00BD1A68">
        <w:rPr>
          <w:rFonts w:eastAsia="Times New Roman" w:cs="Arial"/>
          <w:b/>
          <w:bCs/>
          <w:sz w:val="16"/>
          <w:szCs w:val="16"/>
        </w:rPr>
        <w:t>Observed outcomes (Cooper + Harris + Whaley/Zhao)</w:t>
      </w:r>
      <w:r w:rsidRPr="00BD1A68">
        <w:rPr>
          <w:rFonts w:eastAsia="Times New Roman" w:cs="Arial"/>
          <w:sz w:val="16"/>
          <w:szCs w:val="16"/>
        </w:rPr>
        <w:br/>
        <w:t>Higher prices/spending relatively consistently observed; quality/utilization benefits less consistently demonstrated</w:t>
      </w:r>
    </w:p>
    <w:p w14:paraId="18262C73" w14:textId="77777777" w:rsidR="00BD1A68" w:rsidRPr="00BD1A68" w:rsidRDefault="00BD1A68" w:rsidP="00BD1A68">
      <w:pPr>
        <w:spacing w:before="100" w:beforeAutospacing="1" w:after="100" w:afterAutospacing="1" w:line="240" w:lineRule="auto"/>
        <w:rPr>
          <w:rFonts w:eastAsia="Times New Roman" w:cs="Arial"/>
          <w:sz w:val="16"/>
          <w:szCs w:val="16"/>
        </w:rPr>
      </w:pPr>
      <w:r w:rsidRPr="00BD1A68">
        <w:rPr>
          <w:rFonts w:eastAsia="Times New Roman" w:cs="Arial"/>
          <w:sz w:val="16"/>
          <w:szCs w:val="16"/>
        </w:rPr>
        <w:t>↓</w:t>
      </w:r>
    </w:p>
    <w:p w14:paraId="0B83E410" w14:textId="77777777" w:rsidR="00BD1A68" w:rsidRPr="00BD1A68" w:rsidRDefault="00BD1A68" w:rsidP="00BD1A68">
      <w:pPr>
        <w:spacing w:before="100" w:beforeAutospacing="1" w:after="100" w:afterAutospacing="1" w:line="240" w:lineRule="auto"/>
        <w:rPr>
          <w:rFonts w:eastAsia="Times New Roman" w:cs="Arial"/>
          <w:sz w:val="16"/>
          <w:szCs w:val="16"/>
        </w:rPr>
      </w:pPr>
      <w:r w:rsidRPr="00BD1A68">
        <w:rPr>
          <w:rFonts w:eastAsia="Times New Roman" w:cs="Arial"/>
          <w:b/>
          <w:bCs/>
          <w:sz w:val="16"/>
          <w:szCs w:val="16"/>
        </w:rPr>
        <w:t>Your ultimate question</w:t>
      </w:r>
      <w:r w:rsidRPr="00BD1A68">
        <w:rPr>
          <w:rFonts w:eastAsia="Times New Roman" w:cs="Arial"/>
          <w:sz w:val="16"/>
          <w:szCs w:val="16"/>
        </w:rPr>
        <w:br/>
        <w:t>Are the efficiencies large enough to offset those market-power effects?</w:t>
      </w:r>
    </w:p>
    <w:p w14:paraId="5CE94EBC" w14:textId="077B4630" w:rsidR="002A6FC0" w:rsidRDefault="007E45FE">
      <w:r>
        <w:t>Yes,</w:t>
      </w:r>
      <w:r w:rsidR="002A6FC0">
        <w:t xml:space="preserve"> the efficiencies from integration are large enough to off those market power </w:t>
      </w:r>
      <w:r>
        <w:t>effects.</w:t>
      </w:r>
      <w:r w:rsidR="002C0CE2">
        <w:t xml:space="preserve">  The drivers that support </w:t>
      </w:r>
      <w:r>
        <w:t>continued integration</w:t>
      </w:r>
      <w:r w:rsidR="004F0394">
        <w:t xml:space="preserve"> despite increased market power and risk of increased healthcare cost</w:t>
      </w:r>
    </w:p>
    <w:p w14:paraId="302BF0B4" w14:textId="19C368CC" w:rsidR="002C0CE2" w:rsidRDefault="002C0CE2" w:rsidP="002C0CE2">
      <w:pPr>
        <w:pStyle w:val="ListParagraph"/>
        <w:numPr>
          <w:ilvl w:val="0"/>
          <w:numId w:val="16"/>
        </w:numPr>
      </w:pPr>
      <w:r>
        <w:t>Independent practices struggle with surging operating and malpractice expense</w:t>
      </w:r>
    </w:p>
    <w:p w14:paraId="0072B572" w14:textId="61AED3DF" w:rsidR="002C0CE2" w:rsidRDefault="002C0CE2" w:rsidP="002C0CE2">
      <w:pPr>
        <w:pStyle w:val="ListParagraph"/>
        <w:numPr>
          <w:ilvl w:val="0"/>
          <w:numId w:val="16"/>
        </w:numPr>
      </w:pPr>
      <w:r>
        <w:t>Large entities secure better reimbursement from commercial insurers</w:t>
      </w:r>
    </w:p>
    <w:p w14:paraId="0F4080C5" w14:textId="013292C3" w:rsidR="002C0CE2" w:rsidRDefault="002C0CE2" w:rsidP="002C0CE2">
      <w:pPr>
        <w:pStyle w:val="ListParagraph"/>
        <w:numPr>
          <w:ilvl w:val="0"/>
          <w:numId w:val="16"/>
        </w:numPr>
      </w:pPr>
      <w:r>
        <w:t xml:space="preserve">Scale helps absorb the financial risk associated with </w:t>
      </w:r>
      <w:r w:rsidR="007E45FE">
        <w:t>value-based</w:t>
      </w:r>
      <w:r>
        <w:t xml:space="preserve"> care alternative payment models. </w:t>
      </w:r>
    </w:p>
    <w:p w14:paraId="49C7F078" w14:textId="6710F0A4" w:rsidR="002C0CE2" w:rsidRDefault="002C0CE2" w:rsidP="002C0CE2">
      <w:pPr>
        <w:pStyle w:val="ListParagraph"/>
        <w:numPr>
          <w:ilvl w:val="0"/>
          <w:numId w:val="16"/>
        </w:numPr>
      </w:pPr>
      <w:r>
        <w:t xml:space="preserve">Relief of regulatory burden:  billing, compliance and </w:t>
      </w:r>
      <w:r w:rsidR="007E45FE">
        <w:t>IT(HER</w:t>
      </w:r>
      <w:r>
        <w:t xml:space="preserve">) tend to be centralized. </w:t>
      </w:r>
    </w:p>
    <w:p w14:paraId="32B9BDDE" w14:textId="1D4596D5" w:rsidR="002C0CE2" w:rsidRDefault="002C0CE2" w:rsidP="002C0CE2">
      <w:pPr>
        <w:pStyle w:val="ListParagraph"/>
        <w:numPr>
          <w:ilvl w:val="0"/>
          <w:numId w:val="16"/>
        </w:numPr>
      </w:pPr>
      <w:r>
        <w:t xml:space="preserve">Supply chain scale: Large groups leverage bulk purchasing for drugs, devices and </w:t>
      </w:r>
      <w:r w:rsidR="007E45FE">
        <w:t>technology</w:t>
      </w:r>
      <w:r>
        <w:t xml:space="preserve">. </w:t>
      </w:r>
    </w:p>
    <w:p w14:paraId="463D7B83" w14:textId="0DCF5327" w:rsidR="002C0CE2" w:rsidRDefault="002C0CE2" w:rsidP="002C0CE2">
      <w:pPr>
        <w:pStyle w:val="ListParagraph"/>
        <w:numPr>
          <w:ilvl w:val="0"/>
          <w:numId w:val="16"/>
        </w:numPr>
      </w:pPr>
      <w:r>
        <w:t xml:space="preserve">Recruitment:  Newly graduated residents prefer predictable salaries over running small business </w:t>
      </w:r>
    </w:p>
    <w:p w14:paraId="08004531" w14:textId="510D15D2" w:rsidR="002C0CE2" w:rsidRDefault="002C0CE2" w:rsidP="002C0CE2">
      <w:pPr>
        <w:pStyle w:val="ListParagraph"/>
        <w:numPr>
          <w:ilvl w:val="0"/>
          <w:numId w:val="16"/>
        </w:numPr>
      </w:pPr>
      <w:r>
        <w:t>Improved data sharing: Integrated networks reduce diagnostic duplication via unified patient records</w:t>
      </w:r>
    </w:p>
    <w:p w14:paraId="1AC9C492" w14:textId="6EE3636C" w:rsidR="002C0CE2" w:rsidRDefault="002C0CE2" w:rsidP="002C0CE2">
      <w:pPr>
        <w:pStyle w:val="ListParagraph"/>
        <w:numPr>
          <w:ilvl w:val="0"/>
          <w:numId w:val="16"/>
        </w:numPr>
      </w:pPr>
      <w:r>
        <w:t>Referral capture:  Systems retain patient flow internally across specialty networks</w:t>
      </w:r>
    </w:p>
    <w:p w14:paraId="126C20D3" w14:textId="652C9B7B" w:rsidR="002C0CE2" w:rsidRDefault="002C0CE2" w:rsidP="002C0CE2">
      <w:pPr>
        <w:pStyle w:val="ListParagraph"/>
        <w:numPr>
          <w:ilvl w:val="0"/>
          <w:numId w:val="16"/>
        </w:numPr>
      </w:pPr>
      <w:r>
        <w:t xml:space="preserve">Continuum management:  Scale facilitates care tracking for complex chronically ill medical patient populations. </w:t>
      </w:r>
    </w:p>
    <w:p w14:paraId="57DD2882" w14:textId="77777777" w:rsidR="002A6FC0" w:rsidRDefault="002A6FC0"/>
    <w:sectPr w:rsidR="002A6FC0" w:rsidSect="00034616">
      <w:pgSz w:w="24480" w:h="15840" w:orient="landscape"/>
      <w:pgMar w:top="547" w:right="547" w:bottom="547" w:left="5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E97DE0"/>
    <w:multiLevelType w:val="hybridMultilevel"/>
    <w:tmpl w:val="80DE4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5B705B"/>
    <w:multiLevelType w:val="hybridMultilevel"/>
    <w:tmpl w:val="6D049A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EF5B00"/>
    <w:multiLevelType w:val="hybridMultilevel"/>
    <w:tmpl w:val="AC4C70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1171A97"/>
    <w:multiLevelType w:val="hybridMultilevel"/>
    <w:tmpl w:val="6FA0A5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6530691"/>
    <w:multiLevelType w:val="hybridMultilevel"/>
    <w:tmpl w:val="22CC4F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0F67A15"/>
    <w:multiLevelType w:val="hybridMultilevel"/>
    <w:tmpl w:val="01880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ABB60F4"/>
    <w:multiLevelType w:val="hybridMultilevel"/>
    <w:tmpl w:val="5C84A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9869811">
    <w:abstractNumId w:val="8"/>
  </w:num>
  <w:num w:numId="2" w16cid:durableId="1922829066">
    <w:abstractNumId w:val="6"/>
  </w:num>
  <w:num w:numId="3" w16cid:durableId="1246263564">
    <w:abstractNumId w:val="5"/>
  </w:num>
  <w:num w:numId="4" w16cid:durableId="777413059">
    <w:abstractNumId w:val="4"/>
  </w:num>
  <w:num w:numId="5" w16cid:durableId="815799803">
    <w:abstractNumId w:val="7"/>
  </w:num>
  <w:num w:numId="6" w16cid:durableId="1751388958">
    <w:abstractNumId w:val="3"/>
  </w:num>
  <w:num w:numId="7" w16cid:durableId="876043205">
    <w:abstractNumId w:val="2"/>
  </w:num>
  <w:num w:numId="8" w16cid:durableId="2104841159">
    <w:abstractNumId w:val="1"/>
  </w:num>
  <w:num w:numId="9" w16cid:durableId="1742411917">
    <w:abstractNumId w:val="0"/>
  </w:num>
  <w:num w:numId="10" w16cid:durableId="43993057">
    <w:abstractNumId w:val="12"/>
  </w:num>
  <w:num w:numId="11" w16cid:durableId="791552946">
    <w:abstractNumId w:val="11"/>
  </w:num>
  <w:num w:numId="12" w16cid:durableId="1113012900">
    <w:abstractNumId w:val="14"/>
  </w:num>
  <w:num w:numId="13" w16cid:durableId="2142845498">
    <w:abstractNumId w:val="10"/>
  </w:num>
  <w:num w:numId="14" w16cid:durableId="1769350338">
    <w:abstractNumId w:val="15"/>
  </w:num>
  <w:num w:numId="15" w16cid:durableId="766655747">
    <w:abstractNumId w:val="13"/>
  </w:num>
  <w:num w:numId="16" w16cid:durableId="69411987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6FC"/>
    <w:rsid w:val="00034616"/>
    <w:rsid w:val="0006063C"/>
    <w:rsid w:val="000F375E"/>
    <w:rsid w:val="000F6FA8"/>
    <w:rsid w:val="001116FC"/>
    <w:rsid w:val="0013111C"/>
    <w:rsid w:val="00133EDF"/>
    <w:rsid w:val="0015074B"/>
    <w:rsid w:val="001C00C1"/>
    <w:rsid w:val="00214AEA"/>
    <w:rsid w:val="00256E85"/>
    <w:rsid w:val="00273904"/>
    <w:rsid w:val="0029639D"/>
    <w:rsid w:val="002A6FC0"/>
    <w:rsid w:val="002C0CE2"/>
    <w:rsid w:val="00303F04"/>
    <w:rsid w:val="00326F90"/>
    <w:rsid w:val="00370AC4"/>
    <w:rsid w:val="003C28F3"/>
    <w:rsid w:val="003D288D"/>
    <w:rsid w:val="003E05DB"/>
    <w:rsid w:val="00410071"/>
    <w:rsid w:val="0046372D"/>
    <w:rsid w:val="00471AA0"/>
    <w:rsid w:val="004F0394"/>
    <w:rsid w:val="00544E41"/>
    <w:rsid w:val="005621CB"/>
    <w:rsid w:val="00575ED6"/>
    <w:rsid w:val="005D517B"/>
    <w:rsid w:val="00622C16"/>
    <w:rsid w:val="00662A47"/>
    <w:rsid w:val="006A0435"/>
    <w:rsid w:val="006C4A87"/>
    <w:rsid w:val="006F5C37"/>
    <w:rsid w:val="00714CCF"/>
    <w:rsid w:val="007815BD"/>
    <w:rsid w:val="007B2902"/>
    <w:rsid w:val="007E45FE"/>
    <w:rsid w:val="00841A6F"/>
    <w:rsid w:val="008C1597"/>
    <w:rsid w:val="008D0AD1"/>
    <w:rsid w:val="009125B3"/>
    <w:rsid w:val="009245D8"/>
    <w:rsid w:val="009C72A7"/>
    <w:rsid w:val="009F1A1D"/>
    <w:rsid w:val="009F1B39"/>
    <w:rsid w:val="00A22324"/>
    <w:rsid w:val="00A228C1"/>
    <w:rsid w:val="00A80AE8"/>
    <w:rsid w:val="00A91A0E"/>
    <w:rsid w:val="00A96F71"/>
    <w:rsid w:val="00AA1D8D"/>
    <w:rsid w:val="00AB5D67"/>
    <w:rsid w:val="00B05097"/>
    <w:rsid w:val="00B37DC7"/>
    <w:rsid w:val="00B45C80"/>
    <w:rsid w:val="00B47730"/>
    <w:rsid w:val="00B53414"/>
    <w:rsid w:val="00BD1A68"/>
    <w:rsid w:val="00BF6B76"/>
    <w:rsid w:val="00CA55EA"/>
    <w:rsid w:val="00CB0664"/>
    <w:rsid w:val="00D06533"/>
    <w:rsid w:val="00D2319B"/>
    <w:rsid w:val="00D82D7F"/>
    <w:rsid w:val="00DF5AA5"/>
    <w:rsid w:val="00E51C35"/>
    <w:rsid w:val="00F977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DE1F2"/>
  <w14:defaultImageDpi w14:val="300"/>
  <w15:docId w15:val="{6FF2784C-014F-3E43-B49D-BD37FA483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256E85"/>
    <w:pPr>
      <w:spacing w:after="0" w:line="240" w:lineRule="auto"/>
    </w:pPr>
    <w:rPr>
      <w:rFonts w:ascii="Helvetica" w:eastAsia="Times New Roman" w:hAnsi="Helvetica" w:cs="Times New Roman"/>
      <w:color w:val="094F97"/>
      <w:sz w:val="16"/>
      <w:szCs w:val="16"/>
    </w:rPr>
  </w:style>
  <w:style w:type="character" w:customStyle="1" w:styleId="s1">
    <w:name w:val="s1"/>
    <w:basedOn w:val="DefaultParagraphFont"/>
    <w:rsid w:val="00256E85"/>
    <w:rPr>
      <w:color w:val="000000"/>
    </w:rPr>
  </w:style>
  <w:style w:type="paragraph" w:customStyle="1" w:styleId="p2">
    <w:name w:val="p2"/>
    <w:basedOn w:val="Normal"/>
    <w:rsid w:val="00BD1A6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2433</Words>
  <Characters>16402</Characters>
  <Application>Microsoft Office Word</Application>
  <DocSecurity>0</DocSecurity>
  <Lines>607</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Melanie Kim</cp:lastModifiedBy>
  <cp:revision>2</cp:revision>
  <dcterms:created xsi:type="dcterms:W3CDTF">2026-09-25T03:06:00Z</dcterms:created>
  <dcterms:modified xsi:type="dcterms:W3CDTF">2026-09-25T03:06:00Z</dcterms:modified>
  <cp:category/>
</cp:coreProperties>
</file>