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621CB1" w14:textId="31F38C97" w:rsidR="0000403B" w:rsidRPr="0000403B" w:rsidRDefault="0000403B" w:rsidP="0000403B">
      <w:pPr>
        <w:pStyle w:val="Heading3"/>
        <w:rPr>
          <w:rFonts w:ascii="Arial" w:hAnsi="Arial" w:cs="Arial"/>
          <w:b/>
          <w:bCs/>
          <w:sz w:val="22"/>
          <w:szCs w:val="22"/>
          <w:u w:val="single"/>
        </w:rPr>
      </w:pPr>
      <w:r>
        <w:rPr>
          <w:rFonts w:ascii="Arial" w:hAnsi="Arial" w:cs="Arial"/>
          <w:b/>
          <w:bCs/>
          <w:sz w:val="22"/>
          <w:szCs w:val="22"/>
          <w:u w:val="single"/>
        </w:rPr>
        <w:t xml:space="preserve">Impact of Physician Integration Final </w:t>
      </w:r>
    </w:p>
    <w:p w14:paraId="480D55F0" w14:textId="6B4AED30" w:rsidR="00821CAE" w:rsidRPr="00BC4595" w:rsidRDefault="00821CAE" w:rsidP="00821CAE">
      <w:pPr>
        <w:pStyle w:val="Heading3"/>
        <w:rPr>
          <w:rFonts w:ascii="Arial" w:eastAsia="Times New Roman" w:hAnsi="Arial" w:cs="Arial"/>
          <w:b/>
          <w:bCs/>
          <w:color w:val="auto"/>
          <w:kern w:val="0"/>
          <w:sz w:val="22"/>
          <w:szCs w:val="22"/>
          <w14:ligatures w14:val="none"/>
        </w:rPr>
      </w:pPr>
      <w:r w:rsidRPr="00BC4595">
        <w:rPr>
          <w:rFonts w:ascii="Arial" w:eastAsia="Times New Roman" w:hAnsi="Arial" w:cs="Arial"/>
          <w:b/>
          <w:bCs/>
          <w:color w:val="auto"/>
          <w:kern w:val="0"/>
          <w:sz w:val="22"/>
          <w:szCs w:val="22"/>
          <w14:ligatures w14:val="none"/>
        </w:rPr>
        <w:t>Introduction</w:t>
      </w:r>
    </w:p>
    <w:p w14:paraId="42A6BB8B" w14:textId="065B18FD" w:rsidR="00821CAE" w:rsidRPr="00B36E54" w:rsidRDefault="00821CAE" w:rsidP="00821CAE">
      <w:pPr>
        <w:spacing w:before="100" w:beforeAutospacing="1" w:after="100" w:afterAutospacing="1" w:line="240" w:lineRule="auto"/>
        <w:rPr>
          <w:rFonts w:ascii="Arial" w:eastAsia="Times New Roman" w:hAnsi="Arial" w:cs="Arial"/>
          <w:kern w:val="0"/>
          <w:sz w:val="22"/>
          <w:szCs w:val="22"/>
          <w14:ligatures w14:val="none"/>
        </w:rPr>
      </w:pPr>
      <w:r w:rsidRPr="00B36E54">
        <w:rPr>
          <w:rFonts w:ascii="Arial" w:eastAsia="Times New Roman" w:hAnsi="Arial" w:cs="Arial"/>
          <w:kern w:val="0"/>
          <w:sz w:val="22"/>
          <w:szCs w:val="22"/>
          <w14:ligatures w14:val="none"/>
        </w:rPr>
        <w:t>Over the past several decades, the environment in which physicians deliver patient care has transformed, with more physicians seeking employment by larger healthcare organizations rather than entering or remaining in private practice. The American Medical Association (AMA) Physician Practice Benchmark Survey, a nationally representative survey of physicians conducted biennially, found that in 2024 only 42.2% of physicians worked in private practices, an 18-percentage-point decline from 2012. During the same period, the share of physicians working in hospital-owned practices increased from 23.4% to 34.5%, while 12</w:t>
      </w:r>
      <w:r w:rsidR="00B36E54" w:rsidRPr="00B36E54">
        <w:rPr>
          <w:rFonts w:ascii="Arial" w:eastAsia="Times New Roman" w:hAnsi="Arial" w:cs="Arial"/>
          <w:kern w:val="0"/>
          <w:sz w:val="22"/>
          <w:szCs w:val="22"/>
          <w14:ligatures w14:val="none"/>
        </w:rPr>
        <w:t xml:space="preserve">.2 </w:t>
      </w:r>
      <w:r w:rsidRPr="00B36E54">
        <w:rPr>
          <w:rFonts w:ascii="Arial" w:eastAsia="Times New Roman" w:hAnsi="Arial" w:cs="Arial"/>
          <w:kern w:val="0"/>
          <w:sz w:val="22"/>
          <w:szCs w:val="22"/>
          <w14:ligatures w14:val="none"/>
        </w:rPr>
        <w:t>% of physicians were directly employed by hospitals in 2024, more than double the 5.6% reported in 2012. Private-equity ownership has also increased, with 6.5% of physicians reporting that their practices were owned by private-equity firms in 2024. These trends reflect a substantial change in the organizational structure of physician practice.</w:t>
      </w:r>
    </w:p>
    <w:p w14:paraId="117597CB" w14:textId="77777777" w:rsidR="00821CAE" w:rsidRPr="00B36E54" w:rsidRDefault="00821CAE" w:rsidP="00821CAE">
      <w:pPr>
        <w:spacing w:before="100" w:beforeAutospacing="1" w:after="100" w:afterAutospacing="1" w:line="240" w:lineRule="auto"/>
        <w:rPr>
          <w:rFonts w:ascii="Arial" w:eastAsia="Times New Roman" w:hAnsi="Arial" w:cs="Arial"/>
          <w:kern w:val="0"/>
          <w:sz w:val="22"/>
          <w:szCs w:val="22"/>
          <w14:ligatures w14:val="none"/>
        </w:rPr>
      </w:pPr>
      <w:r w:rsidRPr="00B36E54">
        <w:rPr>
          <w:rFonts w:ascii="Arial" w:eastAsia="Times New Roman" w:hAnsi="Arial" w:cs="Arial"/>
          <w:kern w:val="0"/>
          <w:sz w:val="22"/>
          <w:szCs w:val="22"/>
          <w14:ligatures w14:val="none"/>
        </w:rPr>
        <w:t>Several factors may help explain this shift. Physicians joining larger organizations may gain access to costly resources and capital, centralized administrative support, and greater negotiating leverage with payers. Integration may therefore generate economies of scale and reduce some of the operational burdens associated with independent practice. At the same time, increased provider concentration may strengthen bargaining power and contribute to higher physician prices. These competing effects—economies of scale versus market power—form the economic framework for this analysis. The central question is whether measurable efficiencies from physician integration are sufficiently large to offset the effects of increased market power. Physician prices serve as the primary empirical price measure, while site of care, spending, operational efficiency, and patient outcomes provide supporting evidence of the broader effects of integration.</w:t>
      </w:r>
    </w:p>
    <w:p w14:paraId="674D077B" w14:textId="77777777" w:rsidR="00821CAE" w:rsidRPr="001C4E33" w:rsidRDefault="00821CAE" w:rsidP="00821CAE">
      <w:pPr>
        <w:spacing w:before="100" w:beforeAutospacing="1" w:after="100" w:afterAutospacing="1" w:line="240" w:lineRule="auto"/>
        <w:outlineLvl w:val="2"/>
        <w:rPr>
          <w:rFonts w:ascii="Arial" w:eastAsia="Times New Roman" w:hAnsi="Arial" w:cs="Arial"/>
          <w:b/>
          <w:bCs/>
          <w:kern w:val="0"/>
          <w:sz w:val="22"/>
          <w:szCs w:val="22"/>
          <w14:ligatures w14:val="none"/>
        </w:rPr>
      </w:pPr>
      <w:r w:rsidRPr="001C4E33">
        <w:rPr>
          <w:rFonts w:ascii="Arial" w:eastAsia="Times New Roman" w:hAnsi="Arial" w:cs="Arial"/>
          <w:b/>
          <w:bCs/>
          <w:kern w:val="0"/>
          <w:sz w:val="22"/>
          <w:szCs w:val="22"/>
          <w14:ligatures w14:val="none"/>
        </w:rPr>
        <w:t>Economic Framework and Price Evidence</w:t>
      </w:r>
    </w:p>
    <w:p w14:paraId="1124F77E" w14:textId="77777777" w:rsidR="00821CAE" w:rsidRPr="00B36E54" w:rsidRDefault="00821CAE" w:rsidP="00821CAE">
      <w:pPr>
        <w:spacing w:before="100" w:beforeAutospacing="1" w:after="100" w:afterAutospacing="1" w:line="240" w:lineRule="auto"/>
        <w:rPr>
          <w:rFonts w:ascii="Arial" w:eastAsia="Times New Roman" w:hAnsi="Arial" w:cs="Arial"/>
          <w:kern w:val="0"/>
          <w:sz w:val="22"/>
          <w:szCs w:val="22"/>
          <w14:ligatures w14:val="none"/>
        </w:rPr>
      </w:pPr>
      <w:r w:rsidRPr="00B36E54">
        <w:rPr>
          <w:rFonts w:ascii="Arial" w:eastAsia="Times New Roman" w:hAnsi="Arial" w:cs="Arial"/>
          <w:kern w:val="0"/>
          <w:sz w:val="22"/>
          <w:szCs w:val="22"/>
          <w14:ligatures w14:val="none"/>
        </w:rPr>
        <w:t>Economic theory does not necessarily predict whether physician integration will increase or decrease healthcare costs. The net effect depends on whether efficiencies from integration outweigh the effects of increased market power. Gaynor and Haas-Wilson provide this industrial-organization framework: efficiencies from consolidation are possible but are not automatic, and the net price effect depends on the relative strength of efficiency and market-power effects.</w:t>
      </w:r>
    </w:p>
    <w:p w14:paraId="52374F46" w14:textId="583A4FBE" w:rsidR="00821CAE" w:rsidRPr="00B36E54" w:rsidRDefault="00821CAE" w:rsidP="00821CAE">
      <w:pPr>
        <w:spacing w:before="100" w:beforeAutospacing="1" w:after="100" w:afterAutospacing="1" w:line="240" w:lineRule="auto"/>
        <w:rPr>
          <w:rFonts w:ascii="Arial" w:eastAsia="Times New Roman" w:hAnsi="Arial" w:cs="Arial"/>
          <w:kern w:val="0"/>
          <w:sz w:val="22"/>
          <w:szCs w:val="22"/>
          <w14:ligatures w14:val="none"/>
        </w:rPr>
      </w:pPr>
      <w:r w:rsidRPr="00B36E54">
        <w:rPr>
          <w:rFonts w:ascii="Arial" w:eastAsia="Times New Roman" w:hAnsi="Arial" w:cs="Arial"/>
          <w:kern w:val="0"/>
          <w:sz w:val="22"/>
          <w:szCs w:val="22"/>
          <w14:ligatures w14:val="none"/>
        </w:rPr>
        <w:t>Cooper et al. provide the primary empirical benchmark for evaluating the price effect. Examining hospital acquisitions of physician practices between 2008 and 2016, they found that two years after integration, physician prices increased 15.1% ($502) and hospital labor-and-delivery prices increased 3.3% ($475), without a discernible improvement in the quality measures studied.  Importantly, physician prices also increased approximately 9% among physicians who were already integrated when their hospital acquired additional physicians in the same specialty. Because these physicians did not themselves change integration status, the finding supports increased physician-market concentration and bargaining leverage as an explanation for at least part of the observed price effect. </w:t>
      </w:r>
    </w:p>
    <w:p w14:paraId="3FAE6E8C" w14:textId="77777777" w:rsidR="00821CAE" w:rsidRPr="001C4E33" w:rsidRDefault="00821CAE" w:rsidP="00821CAE">
      <w:pPr>
        <w:spacing w:before="100" w:beforeAutospacing="1" w:after="100" w:afterAutospacing="1" w:line="240" w:lineRule="auto"/>
        <w:outlineLvl w:val="2"/>
        <w:rPr>
          <w:rFonts w:ascii="Arial" w:eastAsia="Times New Roman" w:hAnsi="Arial" w:cs="Arial"/>
          <w:b/>
          <w:bCs/>
          <w:kern w:val="0"/>
          <w:sz w:val="22"/>
          <w:szCs w:val="22"/>
          <w14:ligatures w14:val="none"/>
        </w:rPr>
      </w:pPr>
      <w:r w:rsidRPr="001C4E33">
        <w:rPr>
          <w:rFonts w:ascii="Arial" w:eastAsia="Times New Roman" w:hAnsi="Arial" w:cs="Arial"/>
          <w:b/>
          <w:bCs/>
          <w:kern w:val="0"/>
          <w:sz w:val="22"/>
          <w:szCs w:val="22"/>
          <w14:ligatures w14:val="none"/>
        </w:rPr>
        <w:t>Referral and Site-of-Care Mechanisms</w:t>
      </w:r>
    </w:p>
    <w:p w14:paraId="21D3BA37" w14:textId="6278C5AD" w:rsidR="00821CAE" w:rsidRPr="00B36E54" w:rsidRDefault="00821CAE" w:rsidP="00821CAE">
      <w:pPr>
        <w:spacing w:before="100" w:beforeAutospacing="1" w:after="100" w:afterAutospacing="1" w:line="240" w:lineRule="auto"/>
        <w:rPr>
          <w:rFonts w:ascii="Arial" w:eastAsia="Times New Roman" w:hAnsi="Arial" w:cs="Arial"/>
          <w:kern w:val="0"/>
          <w:sz w:val="22"/>
          <w:szCs w:val="22"/>
          <w14:ligatures w14:val="none"/>
        </w:rPr>
      </w:pPr>
      <w:r w:rsidRPr="00B36E54">
        <w:rPr>
          <w:rFonts w:ascii="Arial" w:eastAsia="Times New Roman" w:hAnsi="Arial" w:cs="Arial"/>
          <w:kern w:val="0"/>
          <w:sz w:val="22"/>
          <w:szCs w:val="22"/>
          <w14:ligatures w14:val="none"/>
        </w:rPr>
        <w:t>The price and spending effects may also operate through changes in referral patterns and site of care. Cooper et al. identify referral redirection to acquiring hospitals, increased hospital bargaining leverage through a “recapture” mechanism, and horizontal physician-market concentration as mechanisms associated with integration. Whaley and Zhao provide complementary evidence by examining referral patterns following physician integration.</w:t>
      </w:r>
      <w:r w:rsidR="001C4E33">
        <w:rPr>
          <w:rFonts w:ascii="Arial" w:eastAsia="Times New Roman" w:hAnsi="Arial" w:cs="Arial"/>
          <w:kern w:val="0"/>
          <w:sz w:val="22"/>
          <w:szCs w:val="22"/>
          <w14:ligatures w14:val="none"/>
        </w:rPr>
        <w:t xml:space="preserve"> After integration, PCPs were noted to have a sharp and immediate increase in the use of HOPDs </w:t>
      </w:r>
      <w:r w:rsidR="007F6880">
        <w:rPr>
          <w:rFonts w:ascii="Arial" w:eastAsia="Times New Roman" w:hAnsi="Arial" w:cs="Arial"/>
          <w:kern w:val="0"/>
          <w:sz w:val="22"/>
          <w:szCs w:val="22"/>
          <w14:ligatures w14:val="none"/>
        </w:rPr>
        <w:t>(hospital</w:t>
      </w:r>
      <w:r w:rsidR="001C4E33">
        <w:rPr>
          <w:rFonts w:ascii="Arial" w:eastAsia="Times New Roman" w:hAnsi="Arial" w:cs="Arial"/>
          <w:kern w:val="0"/>
          <w:sz w:val="22"/>
          <w:szCs w:val="22"/>
          <w14:ligatures w14:val="none"/>
        </w:rPr>
        <w:t xml:space="preserve"> outpatient department) of approximately 5 percentage points</w:t>
      </w:r>
      <w:r w:rsidRPr="00B36E54">
        <w:rPr>
          <w:rFonts w:ascii="Arial" w:eastAsia="Times New Roman" w:hAnsi="Arial" w:cs="Arial"/>
          <w:kern w:val="0"/>
          <w:sz w:val="22"/>
          <w:szCs w:val="22"/>
          <w14:ligatures w14:val="none"/>
        </w:rPr>
        <w:t xml:space="preserve"> They</w:t>
      </w:r>
      <w:r w:rsidR="00775FBD">
        <w:rPr>
          <w:rFonts w:ascii="Arial" w:eastAsia="Times New Roman" w:hAnsi="Arial" w:cs="Arial"/>
          <w:kern w:val="0"/>
          <w:sz w:val="22"/>
          <w:szCs w:val="22"/>
          <w14:ligatures w14:val="none"/>
        </w:rPr>
        <w:t xml:space="preserve"> also</w:t>
      </w:r>
      <w:r w:rsidRPr="00B36E54">
        <w:rPr>
          <w:rFonts w:ascii="Arial" w:eastAsia="Times New Roman" w:hAnsi="Arial" w:cs="Arial"/>
          <w:kern w:val="0"/>
          <w:sz w:val="22"/>
          <w:szCs w:val="22"/>
          <w14:ligatures w14:val="none"/>
        </w:rPr>
        <w:t xml:space="preserve"> found</w:t>
      </w:r>
      <w:r w:rsidR="001C4E33">
        <w:rPr>
          <w:rFonts w:ascii="Arial" w:eastAsia="Times New Roman" w:hAnsi="Arial" w:cs="Arial"/>
          <w:kern w:val="0"/>
          <w:sz w:val="22"/>
          <w:szCs w:val="22"/>
          <w14:ligatures w14:val="none"/>
        </w:rPr>
        <w:t xml:space="preserve"> that HOPD</w:t>
      </w:r>
      <w:r w:rsidRPr="00B36E54">
        <w:rPr>
          <w:rFonts w:ascii="Arial" w:eastAsia="Times New Roman" w:hAnsi="Arial" w:cs="Arial"/>
          <w:kern w:val="0"/>
          <w:sz w:val="22"/>
          <w:szCs w:val="22"/>
          <w14:ligatures w14:val="none"/>
        </w:rPr>
        <w:t xml:space="preserve"> use increased by 5.0 percentage points for arthroscopy and 6.8 percentage points for colonoscopy following integration. </w:t>
      </w:r>
      <w:r w:rsidR="001C4E33">
        <w:rPr>
          <w:rFonts w:ascii="Arial" w:eastAsia="Times New Roman" w:hAnsi="Arial" w:cs="Arial"/>
          <w:kern w:val="0"/>
          <w:sz w:val="22"/>
          <w:szCs w:val="22"/>
          <w14:ligatures w14:val="none"/>
        </w:rPr>
        <w:t xml:space="preserve"> These changes translated into relative increases of 8.2% and 9.3% respectively. </w:t>
      </w:r>
      <w:r w:rsidRPr="00B36E54">
        <w:rPr>
          <w:rFonts w:ascii="Arial" w:eastAsia="Times New Roman" w:hAnsi="Arial" w:cs="Arial"/>
          <w:kern w:val="0"/>
          <w:sz w:val="22"/>
          <w:szCs w:val="22"/>
          <w14:ligatures w14:val="none"/>
        </w:rPr>
        <w:t>These shifts moved procedures toward higher-reimbursement hospital outpatient settings and increased Medicare and patient spending without measurable improvement in complication rates for the procedures studied.</w:t>
      </w:r>
    </w:p>
    <w:p w14:paraId="529BA326" w14:textId="77777777" w:rsidR="00821CAE" w:rsidRPr="00B36E54" w:rsidRDefault="00821CAE" w:rsidP="00821CAE">
      <w:pPr>
        <w:spacing w:before="100" w:beforeAutospacing="1" w:after="100" w:afterAutospacing="1" w:line="240" w:lineRule="auto"/>
        <w:rPr>
          <w:rFonts w:ascii="Arial" w:eastAsia="Times New Roman" w:hAnsi="Arial" w:cs="Arial"/>
          <w:kern w:val="0"/>
          <w:sz w:val="22"/>
          <w:szCs w:val="22"/>
          <w14:ligatures w14:val="none"/>
        </w:rPr>
      </w:pPr>
      <w:r w:rsidRPr="00B36E54">
        <w:rPr>
          <w:rFonts w:ascii="Arial" w:eastAsia="Times New Roman" w:hAnsi="Arial" w:cs="Arial"/>
          <w:kern w:val="0"/>
          <w:sz w:val="22"/>
          <w:szCs w:val="22"/>
          <w14:ligatures w14:val="none"/>
        </w:rPr>
        <w:t>Together, these studies illustrate two related pathways through which integration may affect healthcare costs. Greater physician concentration can strengthen bargaining leverage and increase negotiated physician prices, while ownership and referral incentives can shift services toward higher-cost sites within the integrated system. Referral steering itself does not establish that a referral is clinically inappropriate; rather, the economic concern is whether ownership changes referral incentives in ways that increase spending without a corresponding improvement in patient outcomes.</w:t>
      </w:r>
    </w:p>
    <w:p w14:paraId="37CEDA79" w14:textId="77777777" w:rsidR="00821CAE" w:rsidRPr="001C4E33" w:rsidRDefault="00821CAE" w:rsidP="00821CAE">
      <w:pPr>
        <w:spacing w:before="100" w:beforeAutospacing="1" w:after="100" w:afterAutospacing="1" w:line="240" w:lineRule="auto"/>
        <w:outlineLvl w:val="2"/>
        <w:rPr>
          <w:rFonts w:ascii="Arial" w:eastAsia="Times New Roman" w:hAnsi="Arial" w:cs="Arial"/>
          <w:b/>
          <w:bCs/>
          <w:kern w:val="0"/>
          <w:sz w:val="22"/>
          <w:szCs w:val="22"/>
          <w14:ligatures w14:val="none"/>
        </w:rPr>
      </w:pPr>
      <w:r w:rsidRPr="001C4E33">
        <w:rPr>
          <w:rFonts w:ascii="Arial" w:eastAsia="Times New Roman" w:hAnsi="Arial" w:cs="Arial"/>
          <w:b/>
          <w:bCs/>
          <w:kern w:val="0"/>
          <w:sz w:val="22"/>
          <w:szCs w:val="22"/>
          <w14:ligatures w14:val="none"/>
        </w:rPr>
        <w:t>Do Efficiencies Offset the Price Effects?</w:t>
      </w:r>
    </w:p>
    <w:p w14:paraId="15A01C7E" w14:textId="77777777" w:rsidR="00821CAE" w:rsidRPr="00B36E54" w:rsidRDefault="00821CAE" w:rsidP="00821CAE">
      <w:pPr>
        <w:spacing w:before="100" w:beforeAutospacing="1" w:after="100" w:afterAutospacing="1" w:line="240" w:lineRule="auto"/>
        <w:rPr>
          <w:rFonts w:ascii="Arial" w:eastAsia="Times New Roman" w:hAnsi="Arial" w:cs="Arial"/>
          <w:kern w:val="0"/>
          <w:sz w:val="22"/>
          <w:szCs w:val="22"/>
          <w14:ligatures w14:val="none"/>
        </w:rPr>
      </w:pPr>
      <w:r w:rsidRPr="00B36E54">
        <w:rPr>
          <w:rFonts w:ascii="Arial" w:eastAsia="Times New Roman" w:hAnsi="Arial" w:cs="Arial"/>
          <w:kern w:val="0"/>
          <w:sz w:val="22"/>
          <w:szCs w:val="22"/>
          <w14:ligatures w14:val="none"/>
        </w:rPr>
        <w:t>Evidence of higher prices or spending must be weighed against any measurable efficiencies or improvements in outcomes associated with integration. Saghafian et al. provide an important example of this tradeoff. Using national patient-level data covering approximately 2.6 million Medicare visits across 5,488 physicians, the study found increased physician throughput following gastroenterology integration, indicating improved operational efficiency. At the same time, integration was associated with approximately $127 greater Medicare spending per colonoscopy, largely driven by facility fees, and increased annual colonoscopy spending. The study also reported increases in several post-procedure complications. Thus, integration in this setting produced measurable productive efficiency, but the efficiency did not translate into lower healthcare spending.</w:t>
      </w:r>
    </w:p>
    <w:p w14:paraId="50BDA88D" w14:textId="77777777" w:rsidR="00276614" w:rsidRPr="00B36E54" w:rsidRDefault="00276614" w:rsidP="00276614">
      <w:pPr>
        <w:pStyle w:val="p1"/>
        <w:rPr>
          <w:rFonts w:ascii="Arial" w:hAnsi="Arial" w:cs="Arial"/>
          <w:sz w:val="22"/>
          <w:szCs w:val="22"/>
        </w:rPr>
      </w:pPr>
      <w:r w:rsidRPr="00B36E54">
        <w:rPr>
          <w:rFonts w:ascii="Arial" w:hAnsi="Arial" w:cs="Arial"/>
          <w:sz w:val="22"/>
          <w:szCs w:val="22"/>
        </w:rPr>
        <w:t>This pattern is consistent with Harris et al.’s systematic review of 43 hospital-physician integration studies. Among studies evaluating costs, most found hospital-physician integration to be associated with higher healthcare costs. Factors contributing to higher costs included higher physician prices in commercial markets and shifts toward more expensive care settings in Medicare markets. In contrast, evidence of improved utilization or quality was less consistent. Positive quality findings were largely associated with process measures, particularly in cardiovascular care, while other studies found no improvement or negative effects on quality. Overall, the review found higher costs to be considerably more consistent than measurable improvements in quality or utilization.</w:t>
      </w:r>
    </w:p>
    <w:p w14:paraId="52AD05BC" w14:textId="3BD7029F" w:rsidR="00BC4595" w:rsidRPr="00B36E54" w:rsidRDefault="00BC4595" w:rsidP="00BC4595">
      <w:pPr>
        <w:pStyle w:val="p1"/>
        <w:rPr>
          <w:rFonts w:ascii="Arial" w:hAnsi="Arial" w:cs="Arial"/>
          <w:sz w:val="22"/>
          <w:szCs w:val="22"/>
        </w:rPr>
      </w:pPr>
      <w:r w:rsidRPr="00B36E54">
        <w:rPr>
          <w:rFonts w:ascii="Arial" w:hAnsi="Arial" w:cs="Arial"/>
          <w:sz w:val="22"/>
          <w:szCs w:val="22"/>
        </w:rPr>
        <w:t>Taken together, the evidence indicates that physician integration can produce measurable operational efficiencies; however, the studies reviewed do not demonstrate that these efficiencies consistently translate into lower healthcare spending or improved patient outcomes. These findings provide the basis for evaluating whether the documented efficiencies are economically large enough to offset the observed increases in prices and spending.</w:t>
      </w:r>
    </w:p>
    <w:p w14:paraId="52C1E945" w14:textId="77777777" w:rsidR="00BC4595" w:rsidRPr="001C4E33" w:rsidRDefault="00BC4595" w:rsidP="00BC4595">
      <w:pPr>
        <w:pStyle w:val="Heading3"/>
        <w:rPr>
          <w:rFonts w:ascii="Arial" w:hAnsi="Arial" w:cs="Arial"/>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4E33">
        <w:rPr>
          <w:rStyle w:val="s1"/>
          <w:rFonts w:ascii="Arial" w:hAnsi="Arial" w:cs="Arial"/>
          <w:b/>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 Economic Assessment and Policy Implications</w:t>
      </w:r>
    </w:p>
    <w:p w14:paraId="65E0DBE1" w14:textId="1B7D7E91" w:rsidR="00276614" w:rsidRPr="00B36E54" w:rsidRDefault="00BC4595" w:rsidP="00276614">
      <w:pPr>
        <w:pStyle w:val="p1"/>
      </w:pPr>
      <w:r w:rsidRPr="00B36E54">
        <w:rPr>
          <w:rFonts w:ascii="Arial" w:hAnsi="Arial" w:cs="Arial"/>
          <w:sz w:val="22"/>
          <w:szCs w:val="22"/>
        </w:rPr>
        <w:t xml:space="preserve">Taken together, the evidence reviewed does not meet the predetermined conditions that would challenge the working hypothesis. </w:t>
      </w:r>
      <w:r w:rsidR="00276614" w:rsidRPr="00B36E54">
        <w:rPr>
          <w:rFonts w:ascii="Arial" w:hAnsi="Arial" w:cs="Arial"/>
          <w:sz w:val="22"/>
          <w:szCs w:val="22"/>
        </w:rPr>
        <w:t>First, the price condition is not met</w:t>
      </w:r>
      <w:r w:rsidR="00B36E54" w:rsidRPr="00B36E54">
        <w:rPr>
          <w:rFonts w:ascii="Arial" w:hAnsi="Arial" w:cs="Arial"/>
          <w:sz w:val="22"/>
          <w:szCs w:val="22"/>
        </w:rPr>
        <w:t>. R</w:t>
      </w:r>
      <w:r w:rsidR="00276614" w:rsidRPr="00B36E54">
        <w:rPr>
          <w:rFonts w:ascii="Arial" w:hAnsi="Arial" w:cs="Arial"/>
          <w:sz w:val="22"/>
          <w:szCs w:val="22"/>
        </w:rPr>
        <w:t>ather than demonstrating prices at or below those of comparable independent practices, Cooper et al. found physician prices increased 15.1% ($502) two years after integration.</w:t>
      </w:r>
    </w:p>
    <w:p w14:paraId="741ECC16" w14:textId="7E6029A4" w:rsidR="00BC4595" w:rsidRPr="00B36E54" w:rsidRDefault="00BC4595" w:rsidP="00BC4595">
      <w:pPr>
        <w:pStyle w:val="p5"/>
        <w:rPr>
          <w:rFonts w:ascii="Arial" w:hAnsi="Arial" w:cs="Arial"/>
          <w:sz w:val="22"/>
          <w:szCs w:val="22"/>
        </w:rPr>
      </w:pPr>
      <w:r w:rsidRPr="00B36E54">
        <w:rPr>
          <w:rFonts w:ascii="Arial" w:hAnsi="Arial" w:cs="Arial"/>
          <w:sz w:val="22"/>
          <w:szCs w:val="22"/>
        </w:rPr>
        <w:t xml:space="preserve">Second, although physician integration can generate operational efficiencies, the </w:t>
      </w:r>
      <w:r w:rsidRPr="00B36E54">
        <w:rPr>
          <w:rStyle w:val="s1"/>
          <w:rFonts w:ascii="Arial" w:hAnsi="Arial" w:cs="Arial"/>
          <w:sz w:val="22"/>
          <w:szCs w:val="22"/>
        </w:rPr>
        <w:t>efficiency-offset condition is not met</w:t>
      </w:r>
      <w:r w:rsidRPr="00B36E54">
        <w:rPr>
          <w:rFonts w:ascii="Arial" w:hAnsi="Arial" w:cs="Arial"/>
          <w:sz w:val="22"/>
          <w:szCs w:val="22"/>
        </w:rPr>
        <w:t>. The studies reviewed did not demonstrate savings per patient or episode of approximately the same economic magnitude as the additional spending associated with integration. Harris et al.’s systematic review supports this assessment, finding higher costs more consistently than measurable efficiency or quality gains.</w:t>
      </w:r>
      <w:r w:rsidRPr="00B36E54">
        <w:rPr>
          <w:rStyle w:val="apple-converted-space"/>
          <w:rFonts w:ascii="Arial" w:hAnsi="Arial" w:cs="Arial"/>
          <w:sz w:val="22"/>
          <w:szCs w:val="22"/>
        </w:rPr>
        <w:t> </w:t>
      </w:r>
    </w:p>
    <w:p w14:paraId="7806986D" w14:textId="77777777" w:rsidR="00BC4595" w:rsidRPr="00B36E54" w:rsidRDefault="00BC4595" w:rsidP="00BC4595">
      <w:pPr>
        <w:pStyle w:val="p5"/>
        <w:rPr>
          <w:rFonts w:ascii="Arial" w:hAnsi="Arial" w:cs="Arial"/>
          <w:sz w:val="22"/>
          <w:szCs w:val="22"/>
        </w:rPr>
      </w:pPr>
      <w:r w:rsidRPr="00B36E54">
        <w:rPr>
          <w:rFonts w:ascii="Arial" w:hAnsi="Arial" w:cs="Arial"/>
          <w:sz w:val="22"/>
          <w:szCs w:val="22"/>
        </w:rPr>
        <w:t xml:space="preserve">The </w:t>
      </w:r>
      <w:r w:rsidRPr="00B36E54">
        <w:rPr>
          <w:rStyle w:val="s1"/>
          <w:rFonts w:ascii="Arial" w:hAnsi="Arial" w:cs="Arial"/>
          <w:sz w:val="22"/>
          <w:szCs w:val="22"/>
        </w:rPr>
        <w:t>quality-offset condition also is not met</w:t>
      </w:r>
      <w:r w:rsidRPr="00B36E54">
        <w:rPr>
          <w:rFonts w:ascii="Arial" w:hAnsi="Arial" w:cs="Arial"/>
          <w:sz w:val="22"/>
          <w:szCs w:val="22"/>
        </w:rPr>
        <w:t xml:space="preserve">. The evidence reviewed did not demonstrate sufficiently consistent and clinically meaningful improvements in patient outcomes to compensate for the observed increases in prices and spending. This does not mean that physician integration produces no efficiencies or quality benefits. Rather, based on the evidence reviewed, those benefits were not demonstrated to be sufficiently large or consistent to offset the observed price and spending effects. </w:t>
      </w:r>
      <w:r w:rsidRPr="00B36E54">
        <w:rPr>
          <w:rStyle w:val="s1"/>
          <w:rFonts w:ascii="Arial" w:hAnsi="Arial" w:cs="Arial"/>
          <w:sz w:val="22"/>
          <w:szCs w:val="22"/>
        </w:rPr>
        <w:t>The evidence therefore supports the working hypothesis: physician integration may generate genuine efficiencies, but in the studies reviewed, the effects associated with increased market power appear to outweigh the measurable economic offsets.</w:t>
      </w:r>
    </w:p>
    <w:p w14:paraId="30127E71" w14:textId="45AB91EA" w:rsidR="00BC4595" w:rsidRPr="00B36E54" w:rsidRDefault="00BC4595" w:rsidP="00BC4595">
      <w:pPr>
        <w:pStyle w:val="p1"/>
        <w:rPr>
          <w:rFonts w:ascii="Arial" w:hAnsi="Arial" w:cs="Arial"/>
          <w:sz w:val="22"/>
          <w:szCs w:val="22"/>
        </w:rPr>
      </w:pPr>
      <w:r w:rsidRPr="00B36E54">
        <w:rPr>
          <w:rFonts w:ascii="Arial" w:hAnsi="Arial" w:cs="Arial"/>
          <w:sz w:val="22"/>
          <w:szCs w:val="22"/>
        </w:rPr>
        <w:t xml:space="preserve">These findings have implications for antitrust review. </w:t>
      </w:r>
      <w:r w:rsidR="00124F87">
        <w:rPr>
          <w:rFonts w:ascii="Arial" w:hAnsi="Arial" w:cs="Arial"/>
          <w:sz w:val="22"/>
          <w:szCs w:val="22"/>
        </w:rPr>
        <w:t xml:space="preserve">The Federal Trade commission is aware of the </w:t>
      </w:r>
      <w:r w:rsidR="005F1FC9">
        <w:rPr>
          <w:rFonts w:ascii="Arial" w:hAnsi="Arial" w:cs="Arial"/>
          <w:sz w:val="22"/>
          <w:szCs w:val="22"/>
        </w:rPr>
        <w:t xml:space="preserve">impact; </w:t>
      </w:r>
      <w:r w:rsidR="00124F87">
        <w:rPr>
          <w:rFonts w:ascii="Arial" w:hAnsi="Arial" w:cs="Arial"/>
          <w:sz w:val="22"/>
          <w:szCs w:val="22"/>
        </w:rPr>
        <w:t>mergers</w:t>
      </w:r>
      <w:r w:rsidR="00BC5EBB">
        <w:rPr>
          <w:rFonts w:ascii="Arial" w:hAnsi="Arial" w:cs="Arial"/>
          <w:sz w:val="22"/>
          <w:szCs w:val="22"/>
        </w:rPr>
        <w:t xml:space="preserve"> can</w:t>
      </w:r>
      <w:r w:rsidR="00124F87">
        <w:rPr>
          <w:rFonts w:ascii="Arial" w:hAnsi="Arial" w:cs="Arial"/>
          <w:sz w:val="22"/>
          <w:szCs w:val="22"/>
        </w:rPr>
        <w:t xml:space="preserve"> cause </w:t>
      </w:r>
      <w:r w:rsidR="00BC5EBB">
        <w:rPr>
          <w:rFonts w:ascii="Arial" w:hAnsi="Arial" w:cs="Arial"/>
          <w:sz w:val="22"/>
          <w:szCs w:val="22"/>
        </w:rPr>
        <w:t>due to antitrust concerns resulting in reduced competition and rising healthcare costs</w:t>
      </w:r>
      <w:r w:rsidR="005F1FC9">
        <w:rPr>
          <w:rFonts w:ascii="Arial" w:hAnsi="Arial" w:cs="Arial"/>
          <w:sz w:val="22"/>
          <w:szCs w:val="22"/>
        </w:rPr>
        <w:t xml:space="preserve">.  For example, the </w:t>
      </w:r>
      <w:r w:rsidR="00FE084D">
        <w:rPr>
          <w:rFonts w:ascii="Arial" w:hAnsi="Arial" w:cs="Arial"/>
          <w:sz w:val="22"/>
          <w:szCs w:val="22"/>
        </w:rPr>
        <w:t>FTC challenged</w:t>
      </w:r>
      <w:r w:rsidR="007C3B38">
        <w:rPr>
          <w:rFonts w:ascii="Arial" w:hAnsi="Arial" w:cs="Arial"/>
          <w:sz w:val="22"/>
          <w:szCs w:val="22"/>
        </w:rPr>
        <w:t xml:space="preserve"> </w:t>
      </w:r>
      <w:r w:rsidR="00FE084D">
        <w:rPr>
          <w:rFonts w:ascii="Arial" w:hAnsi="Arial" w:cs="Arial"/>
          <w:sz w:val="22"/>
          <w:szCs w:val="22"/>
        </w:rPr>
        <w:t>the prospective</w:t>
      </w:r>
      <w:r w:rsidR="005F1FC9">
        <w:rPr>
          <w:rFonts w:ascii="Arial" w:hAnsi="Arial" w:cs="Arial"/>
          <w:sz w:val="22"/>
          <w:szCs w:val="22"/>
        </w:rPr>
        <w:t xml:space="preserve"> merger of Lifespan and the Care New England Health system which would have combined Rhode Island’s 2 largest healthcare providers into one entity, controlling </w:t>
      </w:r>
      <w:r w:rsidR="00CD44F9">
        <w:rPr>
          <w:rFonts w:ascii="Arial" w:hAnsi="Arial" w:cs="Arial"/>
          <w:sz w:val="22"/>
          <w:szCs w:val="22"/>
        </w:rPr>
        <w:t xml:space="preserve">at least 70% </w:t>
      </w:r>
      <w:r w:rsidR="005F1FC9">
        <w:rPr>
          <w:rFonts w:ascii="Arial" w:hAnsi="Arial" w:cs="Arial"/>
          <w:sz w:val="22"/>
          <w:szCs w:val="22"/>
        </w:rPr>
        <w:t xml:space="preserve">of patient care. </w:t>
      </w:r>
      <w:r w:rsidR="00FE084D">
        <w:rPr>
          <w:rFonts w:ascii="Arial" w:hAnsi="Arial" w:cs="Arial"/>
          <w:sz w:val="22"/>
          <w:szCs w:val="22"/>
        </w:rPr>
        <w:t>Consequently,</w:t>
      </w:r>
      <w:r w:rsidR="007C3B38">
        <w:rPr>
          <w:rFonts w:ascii="Arial" w:hAnsi="Arial" w:cs="Arial"/>
          <w:sz w:val="22"/>
          <w:szCs w:val="22"/>
        </w:rPr>
        <w:t xml:space="preserve"> both parties abandoned the </w:t>
      </w:r>
      <w:r w:rsidR="00FE084D">
        <w:rPr>
          <w:rFonts w:ascii="Arial" w:hAnsi="Arial" w:cs="Arial"/>
          <w:sz w:val="22"/>
          <w:szCs w:val="22"/>
        </w:rPr>
        <w:t>merger.</w:t>
      </w:r>
      <w:r w:rsidR="007C3B38">
        <w:rPr>
          <w:rFonts w:ascii="Arial" w:hAnsi="Arial" w:cs="Arial"/>
          <w:sz w:val="22"/>
          <w:szCs w:val="22"/>
        </w:rPr>
        <w:t xml:space="preserve"> </w:t>
      </w:r>
      <w:r w:rsidRPr="00B36E54">
        <w:rPr>
          <w:rFonts w:ascii="Arial" w:hAnsi="Arial" w:cs="Arial"/>
          <w:sz w:val="22"/>
          <w:szCs w:val="22"/>
        </w:rPr>
        <w:t xml:space="preserve">The </w:t>
      </w:r>
      <w:r w:rsidR="00FE084D">
        <w:rPr>
          <w:rFonts w:ascii="Arial" w:hAnsi="Arial" w:cs="Arial"/>
          <w:sz w:val="22"/>
          <w:szCs w:val="22"/>
        </w:rPr>
        <w:t xml:space="preserve">FTC </w:t>
      </w:r>
      <w:r w:rsidR="00FE084D" w:rsidRPr="00B36E54">
        <w:rPr>
          <w:rFonts w:ascii="Arial" w:hAnsi="Arial" w:cs="Arial"/>
          <w:sz w:val="22"/>
          <w:szCs w:val="22"/>
        </w:rPr>
        <w:t>and</w:t>
      </w:r>
      <w:r w:rsidRPr="00B36E54">
        <w:rPr>
          <w:rFonts w:ascii="Arial" w:hAnsi="Arial" w:cs="Arial"/>
          <w:sz w:val="22"/>
          <w:szCs w:val="22"/>
        </w:rPr>
        <w:t xml:space="preserve"> state antitrust regulators should explicitly consider changes in </w:t>
      </w:r>
      <w:r w:rsidRPr="00B36E54">
        <w:rPr>
          <w:rStyle w:val="s1"/>
          <w:rFonts w:ascii="Arial" w:hAnsi="Arial" w:cs="Arial"/>
          <w:sz w:val="22"/>
          <w:szCs w:val="22"/>
        </w:rPr>
        <w:t>physician-market concentration</w:t>
      </w:r>
      <w:r w:rsidRPr="00B36E54">
        <w:rPr>
          <w:rFonts w:ascii="Arial" w:hAnsi="Arial" w:cs="Arial"/>
          <w:sz w:val="22"/>
          <w:szCs w:val="22"/>
        </w:rPr>
        <w:t xml:space="preserve"> when evaluating hospital acquisitions of physician practices, including acquisitions that may be individually small but cumulatively increase concentration within a local market</w:t>
      </w:r>
      <w:r w:rsidR="00111802">
        <w:rPr>
          <w:rFonts w:ascii="Arial" w:hAnsi="Arial" w:cs="Arial"/>
          <w:sz w:val="22"/>
          <w:szCs w:val="22"/>
        </w:rPr>
        <w:t xml:space="preserve"> and across geographic markets which is the more recent trend. FTC resources and staffing should be augmented to be able perform these reviews. </w:t>
      </w:r>
      <w:r w:rsidR="007F6880">
        <w:rPr>
          <w:rFonts w:ascii="Arial" w:hAnsi="Arial" w:cs="Arial"/>
          <w:sz w:val="22"/>
          <w:szCs w:val="22"/>
        </w:rPr>
        <w:t>Finally,</w:t>
      </w:r>
      <w:r w:rsidR="00111802">
        <w:rPr>
          <w:rFonts w:ascii="Arial" w:hAnsi="Arial" w:cs="Arial"/>
          <w:sz w:val="22"/>
          <w:szCs w:val="22"/>
        </w:rPr>
        <w:t xml:space="preserve"> and external to the FTC, there should </w:t>
      </w:r>
      <w:r w:rsidR="007F6880">
        <w:rPr>
          <w:rFonts w:ascii="Arial" w:hAnsi="Arial" w:cs="Arial"/>
          <w:sz w:val="22"/>
          <w:szCs w:val="22"/>
        </w:rPr>
        <w:t>be inquiry</w:t>
      </w:r>
      <w:r w:rsidR="00111802">
        <w:rPr>
          <w:rFonts w:ascii="Arial" w:hAnsi="Arial" w:cs="Arial"/>
          <w:sz w:val="22"/>
          <w:szCs w:val="22"/>
        </w:rPr>
        <w:t xml:space="preserve"> of state laws such as Certificates of Public </w:t>
      </w:r>
      <w:r w:rsidR="007F6880">
        <w:rPr>
          <w:rFonts w:ascii="Arial" w:hAnsi="Arial" w:cs="Arial"/>
          <w:sz w:val="22"/>
          <w:szCs w:val="22"/>
        </w:rPr>
        <w:t>Advantage (COPA</w:t>
      </w:r>
      <w:r w:rsidR="00111802">
        <w:rPr>
          <w:rFonts w:ascii="Arial" w:hAnsi="Arial" w:cs="Arial"/>
          <w:sz w:val="22"/>
          <w:szCs w:val="22"/>
        </w:rPr>
        <w:t xml:space="preserve">) </w:t>
      </w:r>
      <w:r w:rsidR="00FE084D">
        <w:rPr>
          <w:rFonts w:ascii="Arial" w:hAnsi="Arial" w:cs="Arial"/>
          <w:sz w:val="22"/>
          <w:szCs w:val="22"/>
        </w:rPr>
        <w:t xml:space="preserve">by which the state signifies the approval of an agreement or planning process with specified parties subject to certain conditions being satisfied.  Under COPA these parties receive state action immunity and federal antitrust law and immunity from private claims under state antitrust laws. </w:t>
      </w:r>
      <w:r w:rsidR="00111802">
        <w:rPr>
          <w:rFonts w:ascii="Arial" w:hAnsi="Arial" w:cs="Arial"/>
          <w:sz w:val="22"/>
          <w:szCs w:val="22"/>
        </w:rPr>
        <w:t xml:space="preserve"> </w:t>
      </w:r>
      <w:r w:rsidRPr="00B36E54">
        <w:rPr>
          <w:rFonts w:ascii="Arial" w:hAnsi="Arial" w:cs="Arial"/>
          <w:sz w:val="22"/>
          <w:szCs w:val="22"/>
        </w:rPr>
        <w:t>Cooper et al.’s finding that prices increased even among already-integrated physicians when hospitals acquired additional physicians in the same specialty suggests that competitive effects may extend beyond the physicians directly involved in an acquisition. Greater attention to cumulative physician-market concentration would allow regulators to evaluate whether expected efficiencies from integration are likely to outweigh potential effects on bargaining power and prices.</w:t>
      </w:r>
    </w:p>
    <w:p w14:paraId="5D87CB44" w14:textId="0F803C2C" w:rsidR="00BC4595" w:rsidRPr="001C4E33" w:rsidRDefault="00276614" w:rsidP="00BC4595">
      <w:pPr>
        <w:spacing w:before="100" w:beforeAutospacing="1" w:after="100" w:afterAutospacing="1" w:line="240" w:lineRule="auto"/>
        <w:rPr>
          <w:rFonts w:ascii="Arial" w:eastAsia="Times New Roman" w:hAnsi="Arial" w:cs="Arial"/>
          <w:b/>
          <w:bCs/>
          <w:kern w:val="0"/>
          <w:sz w:val="22"/>
          <w:szCs w:val="22"/>
          <w14:ligatures w14:val="none"/>
        </w:rPr>
      </w:pPr>
      <w:r w:rsidRPr="001C4E33">
        <w:rPr>
          <w:rFonts w:ascii="Arial" w:eastAsia="Times New Roman" w:hAnsi="Arial" w:cs="Arial"/>
          <w:b/>
          <w:bCs/>
          <w:kern w:val="0"/>
          <w:sz w:val="22"/>
          <w:szCs w:val="22"/>
          <w14:ligatures w14:val="none"/>
        </w:rPr>
        <w:t>Conclusion and Limitation</w:t>
      </w:r>
      <w:r w:rsidR="001C4E33" w:rsidRPr="001C4E33">
        <w:rPr>
          <w:rFonts w:ascii="Arial" w:eastAsia="Times New Roman" w:hAnsi="Arial" w:cs="Arial"/>
          <w:b/>
          <w:bCs/>
          <w:kern w:val="0"/>
          <w:sz w:val="22"/>
          <w:szCs w:val="22"/>
          <w14:ligatures w14:val="none"/>
        </w:rPr>
        <w:t xml:space="preserve">s </w:t>
      </w:r>
    </w:p>
    <w:p w14:paraId="538969A7" w14:textId="143325E2" w:rsidR="00276614" w:rsidRPr="00B36E54" w:rsidRDefault="00276614" w:rsidP="00BC4595">
      <w:pPr>
        <w:spacing w:before="100" w:beforeAutospacing="1" w:after="100" w:afterAutospacing="1" w:line="240" w:lineRule="auto"/>
        <w:rPr>
          <w:rFonts w:ascii="Arial" w:eastAsia="Times New Roman" w:hAnsi="Arial" w:cs="Arial"/>
          <w:kern w:val="0"/>
          <w:sz w:val="22"/>
          <w:szCs w:val="22"/>
          <w14:ligatures w14:val="none"/>
        </w:rPr>
      </w:pPr>
      <w:r w:rsidRPr="00B36E54">
        <w:rPr>
          <w:rFonts w:ascii="Arial" w:eastAsia="Times New Roman" w:hAnsi="Arial" w:cs="Arial"/>
          <w:kern w:val="0"/>
          <w:sz w:val="22"/>
          <w:szCs w:val="22"/>
          <w14:ligatures w14:val="none"/>
        </w:rPr>
        <w:t>Physician integrat</w:t>
      </w:r>
      <w:r w:rsidR="00E406B5" w:rsidRPr="00B36E54">
        <w:rPr>
          <w:rFonts w:ascii="Arial" w:eastAsia="Times New Roman" w:hAnsi="Arial" w:cs="Arial"/>
          <w:kern w:val="0"/>
          <w:sz w:val="22"/>
          <w:szCs w:val="22"/>
          <w14:ligatures w14:val="none"/>
        </w:rPr>
        <w:t>i</w:t>
      </w:r>
      <w:r w:rsidRPr="00B36E54">
        <w:rPr>
          <w:rFonts w:ascii="Arial" w:eastAsia="Times New Roman" w:hAnsi="Arial" w:cs="Arial"/>
          <w:kern w:val="0"/>
          <w:sz w:val="22"/>
          <w:szCs w:val="22"/>
          <w14:ligatures w14:val="none"/>
        </w:rPr>
        <w:t xml:space="preserve">on </w:t>
      </w:r>
      <w:r w:rsidR="00E406B5" w:rsidRPr="00B36E54">
        <w:rPr>
          <w:rFonts w:ascii="Arial" w:eastAsia="Times New Roman" w:hAnsi="Arial" w:cs="Arial"/>
          <w:kern w:val="0"/>
          <w:sz w:val="22"/>
          <w:szCs w:val="22"/>
          <w14:ligatures w14:val="none"/>
        </w:rPr>
        <w:t>may produce measurable operational efficiencies but the literature that this analysis is based on indicates tha</w:t>
      </w:r>
      <w:r w:rsidR="00F904CF">
        <w:rPr>
          <w:rFonts w:ascii="Arial" w:eastAsia="Times New Roman" w:hAnsi="Arial" w:cs="Arial"/>
          <w:kern w:val="0"/>
          <w:sz w:val="22"/>
          <w:szCs w:val="22"/>
          <w14:ligatures w14:val="none"/>
        </w:rPr>
        <w:t>t efficiencies may not offs</w:t>
      </w:r>
      <w:r w:rsidR="00E406B5" w:rsidRPr="00B36E54">
        <w:rPr>
          <w:rFonts w:ascii="Arial" w:eastAsia="Times New Roman" w:hAnsi="Arial" w:cs="Arial"/>
          <w:kern w:val="0"/>
          <w:sz w:val="22"/>
          <w:szCs w:val="22"/>
          <w14:ligatures w14:val="none"/>
        </w:rPr>
        <w:t>e</w:t>
      </w:r>
      <w:r w:rsidR="00F904CF">
        <w:rPr>
          <w:rFonts w:ascii="Arial" w:eastAsia="Times New Roman" w:hAnsi="Arial" w:cs="Arial"/>
          <w:kern w:val="0"/>
          <w:sz w:val="22"/>
          <w:szCs w:val="22"/>
          <w14:ligatures w14:val="none"/>
        </w:rPr>
        <w:t>t the</w:t>
      </w:r>
      <w:r w:rsidR="00E406B5" w:rsidRPr="00B36E54">
        <w:rPr>
          <w:rFonts w:ascii="Arial" w:eastAsia="Times New Roman" w:hAnsi="Arial" w:cs="Arial"/>
          <w:kern w:val="0"/>
          <w:sz w:val="22"/>
          <w:szCs w:val="22"/>
          <w14:ligatures w14:val="none"/>
        </w:rPr>
        <w:t xml:space="preserve"> higher healthcare costs that are created after integration.  This analysis found that higher physician prices were found after </w:t>
      </w:r>
      <w:r w:rsidR="00B36E54" w:rsidRPr="00B36E54">
        <w:rPr>
          <w:rFonts w:ascii="Arial" w:eastAsia="Times New Roman" w:hAnsi="Arial" w:cs="Arial"/>
          <w:kern w:val="0"/>
          <w:sz w:val="22"/>
          <w:szCs w:val="22"/>
          <w14:ligatures w14:val="none"/>
        </w:rPr>
        <w:t>integration,</w:t>
      </w:r>
      <w:r w:rsidR="00E406B5" w:rsidRPr="00B36E54">
        <w:rPr>
          <w:rFonts w:ascii="Arial" w:eastAsia="Times New Roman" w:hAnsi="Arial" w:cs="Arial"/>
          <w:kern w:val="0"/>
          <w:sz w:val="22"/>
          <w:szCs w:val="22"/>
          <w14:ligatures w14:val="none"/>
        </w:rPr>
        <w:t xml:space="preserve"> but physician prices </w:t>
      </w:r>
      <w:r w:rsidR="00B36E54">
        <w:rPr>
          <w:rFonts w:ascii="Arial" w:eastAsia="Times New Roman" w:hAnsi="Arial" w:cs="Arial"/>
          <w:kern w:val="0"/>
          <w:sz w:val="22"/>
          <w:szCs w:val="22"/>
          <w14:ligatures w14:val="none"/>
        </w:rPr>
        <w:t>themselves are</w:t>
      </w:r>
      <w:r w:rsidR="00E406B5" w:rsidRPr="00B36E54">
        <w:rPr>
          <w:rFonts w:ascii="Arial" w:eastAsia="Times New Roman" w:hAnsi="Arial" w:cs="Arial"/>
          <w:kern w:val="0"/>
          <w:sz w:val="22"/>
          <w:szCs w:val="22"/>
          <w14:ligatures w14:val="none"/>
        </w:rPr>
        <w:t xml:space="preserve"> not synonymous with total healthcare spending and that integration effects can vary across markets and specialties. It is therefore recommended that efficiencies should be </w:t>
      </w:r>
      <w:r w:rsidR="00AB0225">
        <w:rPr>
          <w:rFonts w:ascii="Arial" w:eastAsia="Times New Roman" w:hAnsi="Arial" w:cs="Arial"/>
          <w:kern w:val="0"/>
          <w:sz w:val="22"/>
          <w:szCs w:val="22"/>
          <w14:ligatures w14:val="none"/>
        </w:rPr>
        <w:t>demonstrated</w:t>
      </w:r>
      <w:r w:rsidR="004C679A">
        <w:rPr>
          <w:rFonts w:ascii="Arial" w:eastAsia="Times New Roman" w:hAnsi="Arial" w:cs="Arial"/>
          <w:kern w:val="0"/>
          <w:sz w:val="22"/>
          <w:szCs w:val="22"/>
          <w14:ligatures w14:val="none"/>
        </w:rPr>
        <w:t xml:space="preserve"> </w:t>
      </w:r>
      <w:r w:rsidR="00E406B5" w:rsidRPr="00B36E54">
        <w:rPr>
          <w:rFonts w:ascii="Arial" w:eastAsia="Times New Roman" w:hAnsi="Arial" w:cs="Arial"/>
          <w:kern w:val="0"/>
          <w:sz w:val="22"/>
          <w:szCs w:val="22"/>
          <w14:ligatures w14:val="none"/>
        </w:rPr>
        <w:t xml:space="preserve">rather than assumed </w:t>
      </w:r>
      <w:r w:rsidR="00993E99">
        <w:rPr>
          <w:rFonts w:ascii="Arial" w:eastAsia="Times New Roman" w:hAnsi="Arial" w:cs="Arial"/>
          <w:kern w:val="0"/>
          <w:sz w:val="22"/>
          <w:szCs w:val="22"/>
          <w14:ligatures w14:val="none"/>
        </w:rPr>
        <w:t xml:space="preserve">when </w:t>
      </w:r>
      <w:r w:rsidR="00E406B5" w:rsidRPr="00B36E54">
        <w:rPr>
          <w:rFonts w:ascii="Arial" w:eastAsia="Times New Roman" w:hAnsi="Arial" w:cs="Arial"/>
          <w:kern w:val="0"/>
          <w:sz w:val="22"/>
          <w:szCs w:val="22"/>
          <w14:ligatures w14:val="none"/>
        </w:rPr>
        <w:t xml:space="preserve">evaluating </w:t>
      </w:r>
      <w:r w:rsidR="0094465B" w:rsidRPr="00B36E54">
        <w:rPr>
          <w:rFonts w:ascii="Arial" w:eastAsia="Times New Roman" w:hAnsi="Arial" w:cs="Arial"/>
          <w:kern w:val="0"/>
          <w:sz w:val="22"/>
          <w:szCs w:val="22"/>
          <w14:ligatures w14:val="none"/>
        </w:rPr>
        <w:t xml:space="preserve">provider integration systems.  </w:t>
      </w:r>
      <w:r w:rsidR="00AB0225">
        <w:rPr>
          <w:rFonts w:ascii="Arial" w:eastAsia="Times New Roman" w:hAnsi="Arial" w:cs="Arial"/>
          <w:kern w:val="0"/>
          <w:sz w:val="22"/>
          <w:szCs w:val="22"/>
          <w14:ligatures w14:val="none"/>
        </w:rPr>
        <w:t>Finally,</w:t>
      </w:r>
      <w:r w:rsidR="007F6880">
        <w:rPr>
          <w:rFonts w:ascii="Arial" w:eastAsia="Times New Roman" w:hAnsi="Arial" w:cs="Arial"/>
          <w:kern w:val="0"/>
          <w:sz w:val="22"/>
          <w:szCs w:val="22"/>
          <w14:ligatures w14:val="none"/>
        </w:rPr>
        <w:t xml:space="preserve"> oversight of prospective mergers or integrations should undergo more extensive inquiry by the FTC to ensure that </w:t>
      </w:r>
      <w:r w:rsidR="00AB0225">
        <w:rPr>
          <w:rFonts w:ascii="Arial" w:eastAsia="Times New Roman" w:hAnsi="Arial" w:cs="Arial"/>
          <w:kern w:val="0"/>
          <w:sz w:val="22"/>
          <w:szCs w:val="22"/>
          <w14:ligatures w14:val="none"/>
        </w:rPr>
        <w:t>antitrust</w:t>
      </w:r>
      <w:r w:rsidR="007F6880">
        <w:rPr>
          <w:rFonts w:ascii="Arial" w:eastAsia="Times New Roman" w:hAnsi="Arial" w:cs="Arial"/>
          <w:kern w:val="0"/>
          <w:sz w:val="22"/>
          <w:szCs w:val="22"/>
          <w14:ligatures w14:val="none"/>
        </w:rPr>
        <w:t xml:space="preserve"> laws are not violated and better oversight of state laws that may inadvertently support integrations that result in extremely large economies of scale and reduce competition.  </w:t>
      </w:r>
    </w:p>
    <w:p w14:paraId="321A6E11" w14:textId="39F74110" w:rsidR="00F1667A" w:rsidRPr="00BC4595" w:rsidRDefault="003A2682" w:rsidP="00BC4595">
      <w:pPr>
        <w:spacing w:before="100" w:beforeAutospacing="1" w:after="100" w:afterAutospacing="1" w:line="240" w:lineRule="auto"/>
        <w:rPr>
          <w:rFonts w:ascii="Arial" w:eastAsia="Times New Roman" w:hAnsi="Arial" w:cs="Arial"/>
          <w:kern w:val="0"/>
          <w14:ligatures w14:val="none"/>
        </w:rPr>
      </w:pPr>
      <w:r>
        <w:rPr>
          <w:rFonts w:ascii="Arial" w:hAnsi="Arial" w:cs="Arial"/>
        </w:rPr>
        <w:t xml:space="preserve"> </w:t>
      </w:r>
    </w:p>
    <w:sectPr w:rsidR="00F1667A" w:rsidRPr="00BC4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B34BF4"/>
    <w:multiLevelType w:val="hybridMultilevel"/>
    <w:tmpl w:val="4A2033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B16FAA"/>
    <w:multiLevelType w:val="hybridMultilevel"/>
    <w:tmpl w:val="45CAE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9F3980"/>
    <w:multiLevelType w:val="hybridMultilevel"/>
    <w:tmpl w:val="51FE03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8252105">
    <w:abstractNumId w:val="1"/>
  </w:num>
  <w:num w:numId="2" w16cid:durableId="591007792">
    <w:abstractNumId w:val="0"/>
  </w:num>
  <w:num w:numId="3" w16cid:durableId="34605686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FB3"/>
    <w:rsid w:val="0000403B"/>
    <w:rsid w:val="00111802"/>
    <w:rsid w:val="00124F87"/>
    <w:rsid w:val="00191DD8"/>
    <w:rsid w:val="001B6FDA"/>
    <w:rsid w:val="001C4E33"/>
    <w:rsid w:val="00211BD2"/>
    <w:rsid w:val="00276614"/>
    <w:rsid w:val="00321041"/>
    <w:rsid w:val="00370D04"/>
    <w:rsid w:val="003A2682"/>
    <w:rsid w:val="00471200"/>
    <w:rsid w:val="004C679A"/>
    <w:rsid w:val="005142E9"/>
    <w:rsid w:val="00573A33"/>
    <w:rsid w:val="00587C7E"/>
    <w:rsid w:val="005F1FC9"/>
    <w:rsid w:val="006C25AC"/>
    <w:rsid w:val="0075795D"/>
    <w:rsid w:val="00773130"/>
    <w:rsid w:val="00775FBD"/>
    <w:rsid w:val="007C3B38"/>
    <w:rsid w:val="007F6880"/>
    <w:rsid w:val="00815E42"/>
    <w:rsid w:val="00821CAE"/>
    <w:rsid w:val="00850201"/>
    <w:rsid w:val="008D3A02"/>
    <w:rsid w:val="008E172D"/>
    <w:rsid w:val="008F5DA5"/>
    <w:rsid w:val="0094465B"/>
    <w:rsid w:val="00993E99"/>
    <w:rsid w:val="009A2963"/>
    <w:rsid w:val="00A24581"/>
    <w:rsid w:val="00A34BF7"/>
    <w:rsid w:val="00A448FF"/>
    <w:rsid w:val="00A9058C"/>
    <w:rsid w:val="00AB0225"/>
    <w:rsid w:val="00AB369A"/>
    <w:rsid w:val="00AB7D3B"/>
    <w:rsid w:val="00B321A4"/>
    <w:rsid w:val="00B36E54"/>
    <w:rsid w:val="00B815F1"/>
    <w:rsid w:val="00BA4F8D"/>
    <w:rsid w:val="00BC4595"/>
    <w:rsid w:val="00BC5EBB"/>
    <w:rsid w:val="00CD44F9"/>
    <w:rsid w:val="00D30918"/>
    <w:rsid w:val="00E20FB3"/>
    <w:rsid w:val="00E406B5"/>
    <w:rsid w:val="00E62A5B"/>
    <w:rsid w:val="00ED0576"/>
    <w:rsid w:val="00EE7BF9"/>
    <w:rsid w:val="00F1667A"/>
    <w:rsid w:val="00F64D01"/>
    <w:rsid w:val="00F653F1"/>
    <w:rsid w:val="00F904CF"/>
    <w:rsid w:val="00FB05F4"/>
    <w:rsid w:val="00FE0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14CBD5"/>
  <w15:chartTrackingRefBased/>
  <w15:docId w15:val="{F39E8E6E-D348-5142-ADB5-08EC4A586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0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0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FB3"/>
    <w:rPr>
      <w:rFonts w:eastAsiaTheme="majorEastAsia" w:cstheme="majorBidi"/>
      <w:color w:val="272727" w:themeColor="text1" w:themeTint="D8"/>
    </w:rPr>
  </w:style>
  <w:style w:type="paragraph" w:styleId="Title">
    <w:name w:val="Title"/>
    <w:basedOn w:val="Normal"/>
    <w:next w:val="Normal"/>
    <w:link w:val="TitleChar"/>
    <w:uiPriority w:val="10"/>
    <w:qFormat/>
    <w:rsid w:val="00E20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FB3"/>
    <w:pPr>
      <w:spacing w:before="160"/>
      <w:jc w:val="center"/>
    </w:pPr>
    <w:rPr>
      <w:i/>
      <w:iCs/>
      <w:color w:val="404040" w:themeColor="text1" w:themeTint="BF"/>
    </w:rPr>
  </w:style>
  <w:style w:type="character" w:customStyle="1" w:styleId="QuoteChar">
    <w:name w:val="Quote Char"/>
    <w:basedOn w:val="DefaultParagraphFont"/>
    <w:link w:val="Quote"/>
    <w:uiPriority w:val="29"/>
    <w:rsid w:val="00E20FB3"/>
    <w:rPr>
      <w:i/>
      <w:iCs/>
      <w:color w:val="404040" w:themeColor="text1" w:themeTint="BF"/>
    </w:rPr>
  </w:style>
  <w:style w:type="paragraph" w:styleId="ListParagraph">
    <w:name w:val="List Paragraph"/>
    <w:basedOn w:val="Normal"/>
    <w:uiPriority w:val="34"/>
    <w:qFormat/>
    <w:rsid w:val="00E20FB3"/>
    <w:pPr>
      <w:ind w:left="720"/>
      <w:contextualSpacing/>
    </w:pPr>
  </w:style>
  <w:style w:type="character" w:styleId="IntenseEmphasis">
    <w:name w:val="Intense Emphasis"/>
    <w:basedOn w:val="DefaultParagraphFont"/>
    <w:uiPriority w:val="21"/>
    <w:qFormat/>
    <w:rsid w:val="00E20FB3"/>
    <w:rPr>
      <w:i/>
      <w:iCs/>
      <w:color w:val="0F4761" w:themeColor="accent1" w:themeShade="BF"/>
    </w:rPr>
  </w:style>
  <w:style w:type="paragraph" w:styleId="IntenseQuote">
    <w:name w:val="Intense Quote"/>
    <w:basedOn w:val="Normal"/>
    <w:next w:val="Normal"/>
    <w:link w:val="IntenseQuoteChar"/>
    <w:uiPriority w:val="30"/>
    <w:qFormat/>
    <w:rsid w:val="00E20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FB3"/>
    <w:rPr>
      <w:i/>
      <w:iCs/>
      <w:color w:val="0F4761" w:themeColor="accent1" w:themeShade="BF"/>
    </w:rPr>
  </w:style>
  <w:style w:type="character" w:styleId="IntenseReference">
    <w:name w:val="Intense Reference"/>
    <w:basedOn w:val="DefaultParagraphFont"/>
    <w:uiPriority w:val="32"/>
    <w:qFormat/>
    <w:rsid w:val="00E20FB3"/>
    <w:rPr>
      <w:b/>
      <w:bCs/>
      <w:smallCaps/>
      <w:color w:val="0F4761" w:themeColor="accent1" w:themeShade="BF"/>
      <w:spacing w:val="5"/>
    </w:rPr>
  </w:style>
  <w:style w:type="paragraph" w:customStyle="1" w:styleId="p1">
    <w:name w:val="p1"/>
    <w:basedOn w:val="Normal"/>
    <w:rsid w:val="00E20F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821CAE"/>
  </w:style>
  <w:style w:type="paragraph" w:customStyle="1" w:styleId="p2">
    <w:name w:val="p2"/>
    <w:basedOn w:val="Normal"/>
    <w:rsid w:val="00821CA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21CAE"/>
  </w:style>
  <w:style w:type="paragraph" w:customStyle="1" w:styleId="p3">
    <w:name w:val="p3"/>
    <w:basedOn w:val="Normal"/>
    <w:rsid w:val="00821CA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BC459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BC459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1503</Words>
  <Characters>9881</Characters>
  <Application>Microsoft Office Word</Application>
  <DocSecurity>0</DocSecurity>
  <Lines>141</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Kim</dc:creator>
  <cp:keywords/>
  <dc:description/>
  <cp:lastModifiedBy>Melanie Kim</cp:lastModifiedBy>
  <cp:revision>2</cp:revision>
  <cp:lastPrinted>2026-10-01T06:56:00Z</cp:lastPrinted>
  <dcterms:created xsi:type="dcterms:W3CDTF">2026-10-01T18:47:00Z</dcterms:created>
  <dcterms:modified xsi:type="dcterms:W3CDTF">2026-10-01T18:47:00Z</dcterms:modified>
</cp:coreProperties>
</file>