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3E2439" w14:textId="77777777" w:rsidR="0073003A" w:rsidRDefault="004D1EB1">
      <w:pPr>
        <w:pStyle w:val="Title"/>
        <w:jc w:val="center"/>
      </w:pPr>
      <w:r>
        <w:t>Transformation of Physician Practices and Its Impact on Healthcare Delivery and Costs</w:t>
      </w:r>
    </w:p>
    <w:p w14:paraId="23005DF3" w14:textId="77777777" w:rsidR="0073003A" w:rsidRDefault="004D1EB1">
      <w:pPr>
        <w:pStyle w:val="Heading1"/>
      </w:pPr>
      <w:r>
        <w:t>Core Research Questions</w:t>
      </w:r>
    </w:p>
    <w:p w14:paraId="6020F271" w14:textId="77777777" w:rsidR="0073003A" w:rsidRDefault="004D1EB1">
      <w:pPr>
        <w:pStyle w:val="ListNumber"/>
      </w:pPr>
      <w:r>
        <w:t>How has the shift from physician-owned private practice toward employment by larger healthcare organizations affected competition and healthcare prices in the United States?</w:t>
      </w:r>
    </w:p>
    <w:p w14:paraId="6B01B79C" w14:textId="77777777" w:rsidR="0073003A" w:rsidRDefault="004D1EB1">
      <w:pPr>
        <w:pStyle w:val="ListNumber"/>
      </w:pPr>
      <w:r>
        <w:t>Do efficiencies associated with physician integration offset the effects of increased provider market power?</w:t>
      </w:r>
    </w:p>
    <w:p w14:paraId="3BEDBE5A" w14:textId="77777777" w:rsidR="0073003A" w:rsidRDefault="004D1EB1">
      <w:pPr>
        <w:pStyle w:val="Heading1"/>
      </w:pPr>
      <w:r>
        <w:t>Project Identity: Four-Axes Framework</w:t>
      </w:r>
    </w:p>
    <w:p w14:paraId="2AAC6514" w14:textId="77777777" w:rsidR="0073003A" w:rsidRDefault="004D1EB1">
      <w:r>
        <w:rPr>
          <w:b/>
        </w:rPr>
        <w:t xml:space="preserve">Tone Axis (95% Functional / 5% Expressive): </w:t>
      </w:r>
      <w:r>
        <w:t>Rigorously analytical, using industrial-organization frameworks. Arguments are anchored in econometric outcomes and causal inference.</w:t>
      </w:r>
    </w:p>
    <w:p w14:paraId="32AE76B3" w14:textId="77777777" w:rsidR="0073003A" w:rsidRDefault="004D1EB1">
      <w:r>
        <w:rPr>
          <w:b/>
        </w:rPr>
        <w:t xml:space="preserve">Aesthetic Axis (20% Minimalist / 80% Maximalist): </w:t>
      </w:r>
      <w:r>
        <w:t>A high-data-density layout prioritizing tabular overviews, difference-in-differences coefficients, and detailed literature mapping over whitespace.</w:t>
      </w:r>
    </w:p>
    <w:p w14:paraId="6A0C80F9" w14:textId="77777777" w:rsidR="0073003A" w:rsidRDefault="004D1EB1">
      <w:r>
        <w:rPr>
          <w:b/>
        </w:rPr>
        <w:t xml:space="preserve">Audience Relationship (50% Peer / 50% Authority): </w:t>
      </w:r>
      <w:r>
        <w:t>Written for regulators and economic analysts as methodological peers while maintaining empirical authority through robust datasets.</w:t>
      </w:r>
    </w:p>
    <w:p w14:paraId="7CBCC963" w14:textId="77777777" w:rsidR="0073003A" w:rsidRDefault="004D1EB1">
      <w:r>
        <w:rPr>
          <w:b/>
        </w:rPr>
        <w:t xml:space="preserve">Sensory Ambition (90% Subtle / 10% Immersive): </w:t>
      </w:r>
      <w:r>
        <w:t>A text-driven, structural, clean interface that allows rapid screening of evidence without visual distraction.</w:t>
      </w:r>
    </w:p>
    <w:p w14:paraId="7186E19C" w14:textId="77777777" w:rsidR="0073003A" w:rsidRDefault="004D1EB1">
      <w:pPr>
        <w:pStyle w:val="Heading1"/>
      </w:pPr>
      <w:r>
        <w:t>Causal Pipeline and Literature Map</w:t>
      </w:r>
    </w:p>
    <w:p w14:paraId="5E8A073F" w14:textId="7E78ED83" w:rsidR="0073003A" w:rsidRPr="00802B6E" w:rsidRDefault="004D1EB1" w:rsidP="00802B6E">
      <w:pPr>
        <w:pStyle w:val="Heading2"/>
        <w:numPr>
          <w:ilvl w:val="0"/>
          <w:numId w:val="12"/>
        </w:numPr>
        <w:rPr>
          <w:rFonts w:cstheme="majorHAnsi"/>
          <w:color w:val="4BACC6" w:themeColor="accent5"/>
        </w:rPr>
      </w:pPr>
      <w:r w:rsidRPr="00802B6E">
        <w:rPr>
          <w:rFonts w:cstheme="majorHAnsi"/>
          <w:color w:val="4BACC6" w:themeColor="accent5"/>
        </w:rPr>
        <w:t>Observed Structural Change</w:t>
      </w:r>
      <w:r w:rsidR="00B13936" w:rsidRPr="00802B6E">
        <w:rPr>
          <w:rFonts w:cstheme="majorHAnsi"/>
          <w:color w:val="4BACC6" w:themeColor="accent5"/>
        </w:rPr>
        <w:t xml:space="preserve"> </w:t>
      </w:r>
    </w:p>
    <w:p w14:paraId="4A946369" w14:textId="77777777" w:rsidR="00802B6E" w:rsidRDefault="00B13936" w:rsidP="00802B6E">
      <w:pPr>
        <w:pStyle w:val="ListParagraph"/>
      </w:pPr>
      <w:r>
        <w:t xml:space="preserve">More physicians are moving away from independent practices and moving towards employment under large organizations such as hospitals and private </w:t>
      </w:r>
      <w:proofErr w:type="gramStart"/>
      <w:r>
        <w:t xml:space="preserve">equity </w:t>
      </w:r>
      <w:r w:rsidR="00802B6E">
        <w:t>.</w:t>
      </w:r>
      <w:proofErr w:type="gramEnd"/>
      <w:r w:rsidR="00802B6E">
        <w:t xml:space="preserve"> Identified factors may be propelling change as reimbursement transformation, increased administrative burden and compliance concerns. </w:t>
      </w:r>
    </w:p>
    <w:p w14:paraId="194D7371" w14:textId="5748608E" w:rsidR="00802B6E" w:rsidRPr="00802B6E" w:rsidRDefault="00802B6E" w:rsidP="00802B6E">
      <w:pPr>
        <w:pStyle w:val="ListNumber"/>
        <w:numPr>
          <w:ilvl w:val="0"/>
          <w:numId w:val="12"/>
        </w:numPr>
        <w:rPr>
          <w:rFonts w:asciiTheme="majorHAnsi" w:hAnsiTheme="majorHAnsi" w:cstheme="majorHAnsi"/>
          <w:b/>
          <w:bCs/>
          <w:color w:val="4BACC6" w:themeColor="accent5"/>
          <w:sz w:val="24"/>
          <w:szCs w:val="24"/>
        </w:rPr>
      </w:pPr>
      <w:r w:rsidRPr="00802B6E">
        <w:rPr>
          <w:rFonts w:asciiTheme="majorHAnsi" w:hAnsiTheme="majorHAnsi" w:cstheme="majorHAnsi"/>
          <w:b/>
          <w:bCs/>
          <w:color w:val="4BACC6" w:themeColor="accent5"/>
          <w:sz w:val="24"/>
          <w:szCs w:val="24"/>
        </w:rPr>
        <w:t>Drivers for Physician Integration</w:t>
      </w:r>
    </w:p>
    <w:p w14:paraId="0C25EF90" w14:textId="08EF2A32" w:rsidR="00802B6E" w:rsidRPr="00802B6E" w:rsidRDefault="00802B6E" w:rsidP="00802B6E">
      <w:pPr>
        <w:pStyle w:val="ListNumber"/>
        <w:numPr>
          <w:ilvl w:val="0"/>
          <w:numId w:val="0"/>
        </w:numPr>
        <w:ind w:left="720"/>
      </w:pPr>
      <w:r>
        <w:t xml:space="preserve">Drivers for physician integration include improved bargaining power, economies of scale reduced overhead costs, access to capital and reduced administrative </w:t>
      </w:r>
      <w:proofErr w:type="gramStart"/>
      <w:r>
        <w:t>burden  to</w:t>
      </w:r>
      <w:proofErr w:type="gramEnd"/>
      <w:r>
        <w:t xml:space="preserve"> improve efficiency of care </w:t>
      </w:r>
    </w:p>
    <w:p w14:paraId="3EAA1157" w14:textId="560DED1C" w:rsidR="0073003A" w:rsidRPr="00802B6E" w:rsidRDefault="00B13936" w:rsidP="00802B6E">
      <w:pPr>
        <w:pStyle w:val="Heading2"/>
        <w:numPr>
          <w:ilvl w:val="0"/>
          <w:numId w:val="12"/>
        </w:numPr>
        <w:rPr>
          <w:color w:val="4BACC6" w:themeColor="accent5"/>
        </w:rPr>
      </w:pPr>
      <w:r w:rsidRPr="00802B6E">
        <w:rPr>
          <w:color w:val="4BACC6" w:themeColor="accent5"/>
        </w:rPr>
        <w:t xml:space="preserve">Integration Impact </w:t>
      </w:r>
      <w:r w:rsidR="00802B6E" w:rsidRPr="00802B6E">
        <w:rPr>
          <w:color w:val="4BACC6" w:themeColor="accent5"/>
        </w:rPr>
        <w:t xml:space="preserve">on How Healthcare is Delivered </w:t>
      </w:r>
    </w:p>
    <w:p w14:paraId="24FD162C" w14:textId="00CB288E" w:rsidR="00B13936" w:rsidRDefault="00B13936" w:rsidP="00802B6E">
      <w:pPr>
        <w:pStyle w:val="ListParagraph"/>
      </w:pPr>
      <w:r>
        <w:t xml:space="preserve">Integration can result in economic shifts impacting how healthcare is delivered and cost of healthcare by through change in economies of scale, consolidation of </w:t>
      </w:r>
      <w:proofErr w:type="gramStart"/>
      <w:r>
        <w:t>care</w:t>
      </w:r>
      <w:r w:rsidR="00802B6E">
        <w:t>(</w:t>
      </w:r>
      <w:proofErr w:type="gramEnd"/>
      <w:r w:rsidR="00802B6E">
        <w:t>such as site of service shifts</w:t>
      </w:r>
      <w:proofErr w:type="gramStart"/>
      <w:r w:rsidR="00802B6E">
        <w:t xml:space="preserve">) </w:t>
      </w:r>
      <w:r>
        <w:t>,</w:t>
      </w:r>
      <w:proofErr w:type="gramEnd"/>
      <w:r>
        <w:t xml:space="preserve"> leveraging and increased market power that can affect market competition and referral control. </w:t>
      </w:r>
    </w:p>
    <w:p w14:paraId="34DE0C4D" w14:textId="77777777" w:rsidR="005A3088" w:rsidRDefault="005A3088" w:rsidP="00802B6E">
      <w:pPr>
        <w:pStyle w:val="ListParagraph"/>
      </w:pPr>
    </w:p>
    <w:p w14:paraId="58A0D15D" w14:textId="77777777" w:rsidR="005A3088" w:rsidRPr="005A3088" w:rsidRDefault="005A3088" w:rsidP="005A3088">
      <w:pPr>
        <w:pStyle w:val="p1"/>
        <w:numPr>
          <w:ilvl w:val="0"/>
          <w:numId w:val="12"/>
        </w:numPr>
        <w:rPr>
          <w:rFonts w:asciiTheme="majorHAnsi" w:hAnsiTheme="majorHAnsi" w:cstheme="majorHAnsi"/>
          <w:color w:val="4BACC6" w:themeColor="accent5"/>
        </w:rPr>
      </w:pPr>
      <w:r w:rsidRPr="005A3088">
        <w:rPr>
          <w:rFonts w:asciiTheme="majorHAnsi" w:hAnsiTheme="majorHAnsi" w:cstheme="majorHAnsi"/>
          <w:b/>
          <w:bCs/>
          <w:color w:val="4BACC6" w:themeColor="accent5"/>
        </w:rPr>
        <w:t>Competition, Provider Market Power, and Prices</w:t>
      </w:r>
    </w:p>
    <w:p w14:paraId="77CD9625" w14:textId="149812DB" w:rsidR="005A3088" w:rsidRPr="005A3088" w:rsidRDefault="005A3088" w:rsidP="005A3088">
      <w:pPr>
        <w:pStyle w:val="p1"/>
        <w:ind w:left="720"/>
        <w:rPr>
          <w:rFonts w:ascii="Aptos" w:hAnsi="Aptos"/>
        </w:rPr>
      </w:pPr>
      <w:r w:rsidRPr="005A3088">
        <w:rPr>
          <w:rFonts w:ascii="Aptos" w:hAnsi="Aptos"/>
        </w:rPr>
        <w:t>Physician integration may reduce the number of independent competitors, alter referral patterns, and increase the bargaining leverage of larger healthcare organizations with insurers. The analysis will examine whether increased concentration and bargaining power translate into higher healthcare prices.</w:t>
      </w:r>
    </w:p>
    <w:p w14:paraId="7FEDF867" w14:textId="690A7A17" w:rsidR="0073003A" w:rsidRPr="00802B6E" w:rsidRDefault="004D1EB1" w:rsidP="00802B6E">
      <w:pPr>
        <w:pStyle w:val="Heading2"/>
        <w:numPr>
          <w:ilvl w:val="0"/>
          <w:numId w:val="12"/>
        </w:numPr>
        <w:rPr>
          <w:color w:val="4BACC6" w:themeColor="accent5"/>
        </w:rPr>
      </w:pPr>
      <w:r w:rsidRPr="00802B6E">
        <w:rPr>
          <w:color w:val="4BACC6" w:themeColor="accent5"/>
        </w:rPr>
        <w:t>Net Outcomes: Do Efficiencies Offset Market Power?</w:t>
      </w:r>
      <w:r w:rsidR="00802B6E" w:rsidRPr="00802B6E">
        <w:rPr>
          <w:color w:val="4BACC6" w:themeColor="accent5"/>
        </w:rPr>
        <w:t xml:space="preserve">  </w:t>
      </w:r>
      <w:r w:rsidRPr="00802B6E">
        <w:rPr>
          <w:color w:val="4BACC6" w:themeColor="accent5"/>
        </w:rPr>
        <w:t xml:space="preserve"> Does Integration Affect Patient Care?</w:t>
      </w:r>
    </w:p>
    <w:p w14:paraId="581C0256" w14:textId="77777777" w:rsidR="0073003A" w:rsidRDefault="004D1EB1">
      <w:pPr>
        <w:pStyle w:val="Heading1"/>
      </w:pPr>
      <w:r>
        <w:t>Empirical Evidence Matrix</w:t>
      </w:r>
    </w:p>
    <w:p w14:paraId="459281CC" w14:textId="77777777" w:rsidR="0073003A" w:rsidRDefault="004D1EB1">
      <w:r>
        <w:t>The supporting evidence matrix organizes the literature by the magnitude of the ownership shift, economic rationale for integration, competition and concentration, referral and site-of-service mechanisms, price and spending effects, efficiency and market power, and downstream patient outcomes.</w:t>
      </w:r>
    </w:p>
    <w:p w14:paraId="40A87946" w14:textId="77777777" w:rsidR="0073003A" w:rsidRDefault="004D1EB1">
      <w:pPr>
        <w:pStyle w:val="Heading1"/>
      </w:pPr>
      <w:r>
        <w:t>Bibliography</w:t>
      </w:r>
    </w:p>
    <w:p w14:paraId="1A415556" w14:textId="77777777" w:rsidR="0073003A" w:rsidRDefault="004D1EB1">
      <w:pPr>
        <w:ind w:left="432" w:hanging="432"/>
      </w:pPr>
      <w:r>
        <w:t>Aabedi, A., Wang, V., Sahafi, R., &amp; Agrawal, D. K. (2026). Shifting career landscapes: Analyzing the fall in physician-owned practices. Archives of Clinical and Medical Case Reports, 10(2), 52–59. https://doi.org/10.26502/acmcr.96550750</w:t>
      </w:r>
    </w:p>
    <w:p w14:paraId="57739517" w14:textId="77777777" w:rsidR="0073003A" w:rsidRDefault="004D1EB1">
      <w:pPr>
        <w:ind w:left="432" w:hanging="432"/>
      </w:pPr>
      <w:r>
        <w:t>Cooper, Z., Craig, S. V., Epanomeritakis, A., Grennan, M., Martinez, J. R., Scott Morton, F., &amp; Swanson, A. T. (2025). Are hospital acquisitions of physician practices anticompetitive? (NBER Working Paper No. 34039). National Bureau of Economic Research.</w:t>
      </w:r>
    </w:p>
    <w:p w14:paraId="082B6CD3" w14:textId="77777777" w:rsidR="0073003A" w:rsidRDefault="004D1EB1">
      <w:pPr>
        <w:ind w:left="432" w:hanging="432"/>
      </w:pPr>
      <w:r>
        <w:t>Gale, A. H. (2015). Bigger but not better: Hospital mergers increase costs and do not improve quality. Missouri Medicine, 112(1), 4–5.</w:t>
      </w:r>
    </w:p>
    <w:p w14:paraId="04FA897D" w14:textId="77777777" w:rsidR="0073003A" w:rsidRDefault="004D1EB1">
      <w:pPr>
        <w:ind w:left="432" w:hanging="432"/>
      </w:pPr>
      <w:r>
        <w:t>Gaynor, M., &amp; Haas-Wilson, D. (1999). Change, consolidation, and competition in health care markets. Journal of Economic Perspectives, 13(1), 141–164. https://doi.org/10.1257/jep.13.1.141</w:t>
      </w:r>
    </w:p>
    <w:p w14:paraId="1A7921AE" w14:textId="77777777" w:rsidR="0073003A" w:rsidRDefault="004D1EB1">
      <w:pPr>
        <w:ind w:left="432" w:hanging="432"/>
      </w:pPr>
      <w:r>
        <w:t>Gee, E., &amp; Gurwitz, E. (2018). Provider consolidation drives up health care costs: Policy recommendations to curb abuses of market power and protect patients. Center for American Progress.</w:t>
      </w:r>
    </w:p>
    <w:p w14:paraId="340DDC90" w14:textId="77777777" w:rsidR="0073003A" w:rsidRDefault="004D1EB1">
      <w:pPr>
        <w:ind w:left="432" w:hanging="432"/>
      </w:pPr>
      <w:r>
        <w:t>Harris, A., Philbin, S., Post, B., Jordan, N., Beestrum, M., Epstein, R., &amp; McHugh, M. (2025). Cost, quality, and utilization after hospital-physician and hospital-post acute care vertical integration: A systematic review. Medical Care Research and Review, 82(1), 3–42. https://doi.org/10.1177/10775587241247682</w:t>
      </w:r>
    </w:p>
    <w:p w14:paraId="12D35DAD" w14:textId="77777777" w:rsidR="0073003A" w:rsidRDefault="004D1EB1">
      <w:pPr>
        <w:ind w:left="432" w:hanging="432"/>
      </w:pPr>
      <w:r>
        <w:t>Kane, C. K. (2025). Physician practice characteristics in 2024: Private practices account for less than half of physicians in most specialties. American Medical Association, Policy Research Perspectives.</w:t>
      </w:r>
    </w:p>
    <w:p w14:paraId="51BD75C3" w14:textId="77777777" w:rsidR="0073003A" w:rsidRDefault="004D1EB1">
      <w:pPr>
        <w:ind w:left="432" w:hanging="432"/>
      </w:pPr>
      <w:r>
        <w:t>Saghafian, S., Song, L. D., Newhouse, J. P., Landrum, M. B., &amp; Hsu, J. (2023). The impact of vertical integration on physician behavior and healthcare delivery: Evidence from gastroenterology practices (NBER Working Paper No. 30928). National Bureau of Economic Research.</w:t>
      </w:r>
    </w:p>
    <w:p w14:paraId="6C5B915B" w14:textId="77777777" w:rsidR="0073003A" w:rsidRDefault="004D1EB1">
      <w:pPr>
        <w:ind w:left="432" w:hanging="432"/>
      </w:pPr>
      <w:r>
        <w:t>Whaley, C. M., &amp; Zhao, X. (2024). The effects of physician vertical integration on referral patterns, patient welfare, and market dynamics. Journal of Public Economics, 238, 105175. https://doi.org/10.1016/j.jpubeco.2024.105175</w:t>
      </w:r>
    </w:p>
    <w:sectPr w:rsidR="0073003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D5560B"/>
    <w:multiLevelType w:val="hybridMultilevel"/>
    <w:tmpl w:val="3B9A0B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5B855B2"/>
    <w:multiLevelType w:val="hybridMultilevel"/>
    <w:tmpl w:val="92B80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C9412B"/>
    <w:multiLevelType w:val="hybridMultilevel"/>
    <w:tmpl w:val="210AC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5979087">
    <w:abstractNumId w:val="8"/>
  </w:num>
  <w:num w:numId="2" w16cid:durableId="612249750">
    <w:abstractNumId w:val="6"/>
  </w:num>
  <w:num w:numId="3" w16cid:durableId="1798986164">
    <w:abstractNumId w:val="5"/>
  </w:num>
  <w:num w:numId="4" w16cid:durableId="55209533">
    <w:abstractNumId w:val="4"/>
  </w:num>
  <w:num w:numId="5" w16cid:durableId="710955158">
    <w:abstractNumId w:val="7"/>
  </w:num>
  <w:num w:numId="6" w16cid:durableId="710148634">
    <w:abstractNumId w:val="3"/>
  </w:num>
  <w:num w:numId="7" w16cid:durableId="871379731">
    <w:abstractNumId w:val="2"/>
  </w:num>
  <w:num w:numId="8" w16cid:durableId="2007708923">
    <w:abstractNumId w:val="1"/>
  </w:num>
  <w:num w:numId="9" w16cid:durableId="1494644073">
    <w:abstractNumId w:val="0"/>
  </w:num>
  <w:num w:numId="10" w16cid:durableId="1498499891">
    <w:abstractNumId w:val="9"/>
  </w:num>
  <w:num w:numId="11" w16cid:durableId="837765790">
    <w:abstractNumId w:val="7"/>
    <w:lvlOverride w:ilvl="0">
      <w:startOverride w:val="2"/>
    </w:lvlOverride>
  </w:num>
  <w:num w:numId="12" w16cid:durableId="705452903">
    <w:abstractNumId w:val="11"/>
  </w:num>
  <w:num w:numId="13" w16cid:durableId="129999532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4EA"/>
    <w:rsid w:val="0015074B"/>
    <w:rsid w:val="0029639D"/>
    <w:rsid w:val="00326F90"/>
    <w:rsid w:val="003C186D"/>
    <w:rsid w:val="004B1362"/>
    <w:rsid w:val="004D1EB1"/>
    <w:rsid w:val="005A3088"/>
    <w:rsid w:val="0073003A"/>
    <w:rsid w:val="00802B6E"/>
    <w:rsid w:val="009F1A1D"/>
    <w:rsid w:val="00AA1D8D"/>
    <w:rsid w:val="00B1393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846B1"/>
  <w14:defaultImageDpi w14:val="300"/>
  <w15:docId w15:val="{C62134E2-D4A0-B74D-BD95-42CCAB253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5A308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634</Words>
  <Characters>4239</Characters>
  <Application>Microsoft Office Word</Application>
  <DocSecurity>0</DocSecurity>
  <Lines>63</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Melanie Kim</cp:lastModifiedBy>
  <cp:revision>4</cp:revision>
  <dcterms:created xsi:type="dcterms:W3CDTF">2026-09-22T02:49:00Z</dcterms:created>
  <dcterms:modified xsi:type="dcterms:W3CDTF">2026-09-22T03:13:00Z</dcterms:modified>
  <cp:category/>
</cp:coreProperties>
</file>