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软件著作权申请材料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目录索引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软件基本信息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/>
        </w:tc>
        <w:tc>
          <w:tcPr>
            <w:tcW w:type="dxa" w:w="4153"/>
          </w:tcPr>
          <w:p/>
        </w:tc>
      </w:tr>
      <w:tr>
        <w:tc>
          <w:tcPr>
            <w:tcW w:type="dxa" w:w="415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项目</w:t>
            </w:r>
          </w:p>
        </w:tc>
        <w:tc>
          <w:tcPr>
            <w:tcW w:type="dxa" w:w="415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内容</w:t>
            </w:r>
          </w:p>
        </w:tc>
      </w:tr>
      <w:tr>
        <w:tc>
          <w:tcPr>
            <w:tcW w:type="dxa" w:w="4153"/>
          </w:tcPr>
          <w:p>
            <w:r>
              <w:rPr>
                <w:rFonts w:ascii="宋体" w:hAnsi="宋体" w:eastAsia="宋体"/>
                <w:b w:val="0"/>
                <w:sz w:val="22"/>
              </w:rPr>
              <w:t>软件名称</w:t>
            </w:r>
          </w:p>
        </w:tc>
        <w:tc>
          <w:tcPr>
            <w:tcW w:type="dxa" w:w="4153"/>
          </w:tcPr>
          <w:p>
            <w:r>
              <w:rPr>
                <w:rFonts w:ascii="宋体" w:hAnsi="宋体" w:eastAsia="宋体"/>
                <w:b w:val="0"/>
                <w:sz w:val="22"/>
              </w:rPr>
              <w:t>微小型无人机智能风场测试评估系统</w:t>
            </w:r>
          </w:p>
        </w:tc>
      </w:tr>
      <w:tr>
        <w:tc>
          <w:tcPr>
            <w:tcW w:type="dxa" w:w="4153"/>
          </w:tcPr>
          <w:p>
            <w:r>
              <w:rPr>
                <w:rFonts w:ascii="宋体" w:hAnsi="宋体" w:eastAsia="宋体"/>
                <w:b w:val="0"/>
                <w:sz w:val="22"/>
              </w:rPr>
              <w:t>软件简称</w:t>
            </w:r>
          </w:p>
        </w:tc>
        <w:tc>
          <w:tcPr>
            <w:tcW w:type="dxa" w:w="4153"/>
          </w:tcPr>
          <w:p>
            <w:r>
              <w:rPr>
                <w:rFonts w:ascii="宋体" w:hAnsi="宋体" w:eastAsia="宋体"/>
                <w:b w:val="0"/>
                <w:sz w:val="22"/>
              </w:rPr>
              <w:t>风场测试评估系统</w:t>
            </w:r>
          </w:p>
        </w:tc>
      </w:tr>
      <w:tr>
        <w:tc>
          <w:tcPr>
            <w:tcW w:type="dxa" w:w="4153"/>
          </w:tcPr>
          <w:p>
            <w:r>
              <w:rPr>
                <w:rFonts w:ascii="宋体" w:hAnsi="宋体" w:eastAsia="宋体"/>
                <w:b w:val="0"/>
                <w:sz w:val="22"/>
              </w:rPr>
              <w:t>版本号</w:t>
            </w:r>
          </w:p>
        </w:tc>
        <w:tc>
          <w:tcPr>
            <w:tcW w:type="dxa" w:w="4153"/>
          </w:tcPr>
          <w:p>
            <w:r>
              <w:rPr>
                <w:rFonts w:ascii="宋体" w:hAnsi="宋体" w:eastAsia="宋体"/>
                <w:b w:val="0"/>
                <w:sz w:val="22"/>
              </w:rPr>
              <w:t>V2.0.0</w:t>
            </w:r>
          </w:p>
        </w:tc>
      </w:tr>
      <w:tr>
        <w:tc>
          <w:tcPr>
            <w:tcW w:type="dxa" w:w="4153"/>
          </w:tcPr>
          <w:p>
            <w:r>
              <w:rPr>
                <w:rFonts w:ascii="宋体" w:hAnsi="宋体" w:eastAsia="宋体"/>
                <w:b w:val="0"/>
                <w:sz w:val="22"/>
              </w:rPr>
              <w:t>开发完成日期</w:t>
            </w:r>
          </w:p>
        </w:tc>
        <w:tc>
          <w:tcPr>
            <w:tcW w:type="dxa" w:w="4153"/>
          </w:tcPr>
          <w:p>
            <w:r>
              <w:rPr>
                <w:rFonts w:ascii="宋体" w:hAnsi="宋体" w:eastAsia="宋体"/>
                <w:b w:val="0"/>
                <w:sz w:val="22"/>
              </w:rPr>
              <w:t>2026年01月</w:t>
            </w:r>
          </w:p>
        </w:tc>
      </w:tr>
      <w:tr>
        <w:tc>
          <w:tcPr>
            <w:tcW w:type="dxa" w:w="4153"/>
          </w:tcPr>
          <w:p>
            <w:r>
              <w:rPr>
                <w:rFonts w:ascii="宋体" w:hAnsi="宋体" w:eastAsia="宋体"/>
                <w:b w:val="0"/>
                <w:sz w:val="22"/>
              </w:rPr>
              <w:t>开发语言</w:t>
            </w:r>
          </w:p>
        </w:tc>
        <w:tc>
          <w:tcPr>
            <w:tcW w:type="dxa" w:w="4153"/>
          </w:tcPr>
          <w:p>
            <w:r>
              <w:rPr>
                <w:rFonts w:ascii="宋体" w:hAnsi="宋体" w:eastAsia="宋体"/>
                <w:b w:val="0"/>
                <w:sz w:val="22"/>
              </w:rPr>
              <w:t>Python</w:t>
            </w:r>
          </w:p>
        </w:tc>
      </w:tr>
      <w:tr>
        <w:tc>
          <w:tcPr>
            <w:tcW w:type="dxa" w:w="4153"/>
          </w:tcPr>
          <w:p>
            <w:r>
              <w:rPr>
                <w:rFonts w:ascii="宋体" w:hAnsi="宋体" w:eastAsia="宋体"/>
                <w:b w:val="0"/>
                <w:sz w:val="22"/>
              </w:rPr>
              <w:t>代码行数</w:t>
            </w:r>
          </w:p>
        </w:tc>
        <w:tc>
          <w:tcPr>
            <w:tcW w:type="dxa" w:w="4153"/>
          </w:tcPr>
          <w:p>
            <w:r>
              <w:rPr>
                <w:rFonts w:ascii="宋体" w:hAnsi="宋体" w:eastAsia="宋体"/>
                <w:b w:val="0"/>
                <w:sz w:val="22"/>
              </w:rPr>
              <w:t>约39,000行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4"/>
        </w:rPr>
        <w:t>文件目录</w:t>
      </w:r>
    </w:p>
    <w:p>
      <w:r>
        <w:rPr>
          <w:rFonts w:ascii="宋体" w:hAnsi="宋体" w:eastAsia="宋体"/>
          <w:b w:val="0"/>
          <w:sz w:val="24"/>
        </w:rPr>
        <w:t>1. README.md</w:t>
        <w:tab/>
        <w:t>目录索引</w:t>
      </w:r>
    </w:p>
    <w:p>
      <w:r>
        <w:rPr>
          <w:rFonts w:ascii="宋体" w:hAnsi="宋体" w:eastAsia="宋体"/>
          <w:b w:val="0"/>
          <w:sz w:val="24"/>
        </w:rPr>
        <w:t>2. 01_软件说明书.docx</w:t>
        <w:tab/>
        <w:t>软件功能详细说明</w:t>
      </w:r>
    </w:p>
    <w:p>
      <w:r>
        <w:rPr>
          <w:rFonts w:ascii="宋体" w:hAnsi="宋体" w:eastAsia="宋体"/>
          <w:b w:val="0"/>
          <w:sz w:val="24"/>
        </w:rPr>
        <w:t>3. 02_用户手册.docx</w:t>
        <w:tab/>
        <w:t>用户操作手册</w:t>
      </w:r>
    </w:p>
    <w:p>
      <w:r>
        <w:rPr>
          <w:rFonts w:ascii="宋体" w:hAnsi="宋体" w:eastAsia="宋体"/>
          <w:b w:val="0"/>
          <w:sz w:val="24"/>
        </w:rPr>
        <w:t>4. 03_软件功能清单.docx</w:t>
        <w:tab/>
        <w:t>功能模块清单</w:t>
      </w:r>
    </w:p>
    <w:p>
      <w:r>
        <w:rPr>
          <w:rFonts w:ascii="宋体" w:hAnsi="宋体" w:eastAsia="宋体"/>
          <w:b w:val="0"/>
          <w:sz w:val="24"/>
        </w:rPr>
        <w:t>5. 04_软件著作权申请表模板.docx</w:t>
        <w:tab/>
        <w:t>申请表填写模板</w:t>
      </w:r>
    </w:p>
    <w:p>
      <w:r>
        <w:rPr>
          <w:rFonts w:ascii="宋体" w:hAnsi="宋体" w:eastAsia="宋体"/>
          <w:b w:val="0"/>
          <w:sz w:val="24"/>
        </w:rPr>
        <w:t>6. 05_源代码文档.docx</w:t>
        <w:tab/>
        <w:t>源代码（前30页+后30页）</w:t>
      </w:r>
    </w:p>
    <w:p/>
    <w:p>
      <w:pPr>
        <w:pStyle w:val="Heading2"/>
      </w:pPr>
      <w:r>
        <w:rPr>
          <w:rFonts w:ascii="宋体" w:hAnsi="宋体" w:eastAsia="宋体"/>
          <w:b/>
          <w:sz w:val="24"/>
        </w:rPr>
        <w:t>核心功能模块</w:t>
      </w:r>
    </w:p>
    <w:p>
      <w:r>
        <w:rPr>
          <w:rFonts w:ascii="宋体" w:hAnsi="宋体" w:eastAsia="宋体"/>
          <w:b w:val="0"/>
          <w:sz w:val="24"/>
        </w:rPr>
        <w:t>• 全局监控仪表盘 - 系统资源、通讯状态、环境参数、日志中心监控</w:t>
      </w:r>
    </w:p>
    <w:p>
      <w:r>
        <w:rPr>
          <w:rFonts w:ascii="宋体" w:hAnsi="宋体" w:eastAsia="宋体"/>
          <w:b w:val="0"/>
          <w:sz w:val="24"/>
        </w:rPr>
        <w:t>• 风场编辑器 - 3D可视化编辑、风速区域、自定义表达式、模板库</w:t>
      </w:r>
    </w:p>
    <w:p>
      <w:r>
        <w:rPr>
          <w:rFonts w:ascii="宋体" w:hAnsi="宋体" w:eastAsia="宋体"/>
          <w:b w:val="0"/>
          <w:sz w:val="24"/>
        </w:rPr>
        <w:t>• 硬件控制 - 1600台风扇控制、Modbus/EtherCAT通讯</w:t>
      </w:r>
    </w:p>
    <w:p>
      <w:r>
        <w:rPr>
          <w:rFonts w:ascii="宋体" w:hAnsi="宋体" w:eastAsia="宋体"/>
          <w:b w:val="0"/>
          <w:sz w:val="24"/>
        </w:rPr>
        <w:t>• 传感器数据采集 - 1800+通道采集、Redis缓存、MongoDB同步</w:t>
      </w:r>
    </w:p>
    <w:p>
      <w:r>
        <w:rPr>
          <w:rFonts w:ascii="宋体" w:hAnsi="宋体" w:eastAsia="宋体"/>
          <w:b w:val="0"/>
          <w:sz w:val="24"/>
        </w:rPr>
        <w:t>• CFD前处理 - 场景生成、网格生成、边界条件</w:t>
      </w:r>
    </w:p>
    <w:p>
      <w:r>
        <w:rPr>
          <w:rFonts w:ascii="宋体" w:hAnsi="宋体" w:eastAsia="宋体"/>
          <w:b w:val="0"/>
          <w:sz w:val="24"/>
        </w:rPr>
        <w:t>• 动捕数据可视化 - CSV加载、3D轨迹、播放控制、统计分析</w:t>
      </w:r>
    </w:p>
    <w:p/>
    <w:p>
      <w:pPr>
        <w:pStyle w:val="Heading2"/>
      </w:pPr>
      <w:r>
        <w:rPr>
          <w:rFonts w:ascii="宋体" w:hAnsi="宋体" w:eastAsia="宋体"/>
          <w:b/>
          <w:sz w:val="24"/>
        </w:rPr>
        <w:t>技术特性</w:t>
      </w:r>
    </w:p>
    <w:p>
      <w:r>
        <w:rPr>
          <w:rFonts w:ascii="宋体" w:hAnsi="宋体" w:eastAsia="宋体"/>
          <w:b w:val="0"/>
          <w:sz w:val="24"/>
        </w:rPr>
        <w:t>• 多线程架构 - UI与数据处理分离</w:t>
      </w:r>
    </w:p>
    <w:p>
      <w:r>
        <w:rPr>
          <w:rFonts w:ascii="宋体" w:hAnsi="宋体" w:eastAsia="宋体"/>
          <w:b w:val="0"/>
          <w:sz w:val="24"/>
        </w:rPr>
        <w:t>• 信号槽机制 - 模块间松耦合通信</w:t>
      </w:r>
    </w:p>
    <w:p>
      <w:r>
        <w:rPr>
          <w:rFonts w:ascii="宋体" w:hAnsi="宋体" w:eastAsia="宋体"/>
          <w:b w:val="0"/>
          <w:sz w:val="24"/>
        </w:rPr>
        <w:t>• 双层存储 - Redis + MongoDB</w:t>
      </w:r>
    </w:p>
    <w:p>
      <w:r>
        <w:rPr>
          <w:rFonts w:ascii="宋体" w:hAnsi="宋体" w:eastAsia="宋体"/>
          <w:b w:val="0"/>
          <w:sz w:val="24"/>
        </w:rPr>
        <w:t>• 实时3D渲染 - OpenGL高性能渲染</w:t>
      </w:r>
    </w:p>
    <w:p>
      <w:r>
        <w:rPr>
          <w:rFonts w:ascii="宋体" w:hAnsi="宋体" w:eastAsia="宋体"/>
          <w:b w:val="0"/>
          <w:sz w:val="24"/>
        </w:rPr>
        <w:t>• 表达式解析 - 动态数学表达式解析</w:t>
      </w:r>
    </w:p>
    <w:p>
      <w:r>
        <w:rPr>
          <w:rFonts w:ascii="宋体" w:hAnsi="宋体" w:eastAsia="宋体"/>
          <w:b w:val="0"/>
          <w:sz w:val="24"/>
        </w:rPr>
        <w:t>• 多协议支持 - TCP/IP、EtherCAT、Modbus</w:t>
      </w:r>
    </w:p>
    <w:p/>
    <w:p>
      <w:pPr>
        <w:pStyle w:val="Heading2"/>
      </w:pPr>
      <w:r>
        <w:rPr>
          <w:rFonts w:ascii="宋体" w:hAnsi="宋体" w:eastAsia="宋体"/>
          <w:b/>
          <w:sz w:val="24"/>
        </w:rPr>
        <w:t>性能指标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/>
        </w:tc>
        <w:tc>
          <w:tcPr>
            <w:tcW w:type="dxa" w:w="4153"/>
          </w:tcPr>
          <w:p/>
        </w:tc>
      </w:tr>
      <w:tr>
        <w:tc>
          <w:tcPr>
            <w:tcW w:type="dxa" w:w="415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指标</w:t>
            </w:r>
          </w:p>
        </w:tc>
        <w:tc>
          <w:tcPr>
            <w:tcW w:type="dxa" w:w="415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数值</w:t>
            </w:r>
          </w:p>
        </w:tc>
      </w:tr>
      <w:tr>
        <w:tc>
          <w:tcPr>
            <w:tcW w:type="dxa" w:w="4153"/>
          </w:tcPr>
          <w:p>
            <w:r>
              <w:rPr>
                <w:rFonts w:ascii="宋体" w:hAnsi="宋体" w:eastAsia="宋体"/>
                <w:b w:val="0"/>
                <w:sz w:val="22"/>
              </w:rPr>
              <w:t>最大采集频率</w:t>
            </w:r>
          </w:p>
        </w:tc>
        <w:tc>
          <w:tcPr>
            <w:tcW w:type="dxa" w:w="4153"/>
          </w:tcPr>
          <w:p>
            <w:r>
              <w:rPr>
                <w:rFonts w:ascii="宋体" w:hAnsi="宋体" w:eastAsia="宋体"/>
                <w:b w:val="0"/>
                <w:sz w:val="22"/>
              </w:rPr>
              <w:t>100Hz</w:t>
            </w:r>
          </w:p>
        </w:tc>
      </w:tr>
      <w:tr>
        <w:tc>
          <w:tcPr>
            <w:tcW w:type="dxa" w:w="4153"/>
          </w:tcPr>
          <w:p>
            <w:r>
              <w:rPr>
                <w:rFonts w:ascii="宋体" w:hAnsi="宋体" w:eastAsia="宋体"/>
                <w:b w:val="0"/>
                <w:sz w:val="22"/>
              </w:rPr>
              <w:t>风扇响应时间</w:t>
            </w:r>
          </w:p>
        </w:tc>
        <w:tc>
          <w:tcPr>
            <w:tcW w:type="dxa" w:w="4153"/>
          </w:tcPr>
          <w:p>
            <w:r>
              <w:rPr>
                <w:rFonts w:ascii="宋体" w:hAnsi="宋体" w:eastAsia="宋体"/>
                <w:b w:val="0"/>
                <w:sz w:val="22"/>
              </w:rPr>
              <w:t>&lt;10ms</w:t>
            </w:r>
          </w:p>
        </w:tc>
      </w:tr>
      <w:tr>
        <w:tc>
          <w:tcPr>
            <w:tcW w:type="dxa" w:w="4153"/>
          </w:tcPr>
          <w:p>
            <w:r>
              <w:rPr>
                <w:rFonts w:ascii="宋体" w:hAnsi="宋体" w:eastAsia="宋体"/>
                <w:b w:val="0"/>
                <w:sz w:val="22"/>
              </w:rPr>
              <w:t>3D渲染帧率</w:t>
            </w:r>
          </w:p>
        </w:tc>
        <w:tc>
          <w:tcPr>
            <w:tcW w:type="dxa" w:w="4153"/>
          </w:tcPr>
          <w:p>
            <w:r>
              <w:rPr>
                <w:rFonts w:ascii="宋体" w:hAnsi="宋体" w:eastAsia="宋体"/>
                <w:b w:val="0"/>
                <w:sz w:val="22"/>
              </w:rPr>
              <w:t>&gt;30fps</w:t>
            </w:r>
          </w:p>
        </w:tc>
      </w:tr>
      <w:tr>
        <w:tc>
          <w:tcPr>
            <w:tcW w:type="dxa" w:w="4153"/>
          </w:tcPr>
          <w:p>
            <w:r>
              <w:rPr>
                <w:rFonts w:ascii="宋体" w:hAnsi="宋体" w:eastAsia="宋体"/>
                <w:b w:val="0"/>
                <w:sz w:val="22"/>
              </w:rPr>
              <w:t>支持传感器通道</w:t>
            </w:r>
          </w:p>
        </w:tc>
        <w:tc>
          <w:tcPr>
            <w:tcW w:type="dxa" w:w="4153"/>
          </w:tcPr>
          <w:p>
            <w:r>
              <w:rPr>
                <w:rFonts w:ascii="宋体" w:hAnsi="宋体" w:eastAsia="宋体"/>
                <w:b w:val="0"/>
                <w:sz w:val="22"/>
              </w:rPr>
              <w:t>1800+</w:t>
            </w:r>
          </w:p>
        </w:tc>
      </w:tr>
      <w:tr>
        <w:tc>
          <w:tcPr>
            <w:tcW w:type="dxa" w:w="4153"/>
          </w:tcPr>
          <w:p>
            <w:r>
              <w:rPr>
                <w:rFonts w:ascii="宋体" w:hAnsi="宋体" w:eastAsia="宋体"/>
                <w:b w:val="0"/>
                <w:sz w:val="22"/>
              </w:rPr>
              <w:t>数据存储容量</w:t>
            </w:r>
          </w:p>
        </w:tc>
        <w:tc>
          <w:tcPr>
            <w:tcW w:type="dxa" w:w="4153"/>
          </w:tcPr>
          <w:p>
            <w:r>
              <w:rPr>
                <w:rFonts w:ascii="宋体" w:hAnsi="宋体" w:eastAsia="宋体"/>
                <w:b w:val="0"/>
                <w:sz w:val="22"/>
              </w:rPr>
              <w:t>TB级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